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B815" w14:textId="77777777" w:rsidR="006E71A2" w:rsidRDefault="006E71A2" w:rsidP="00E23658">
      <w:pPr>
        <w:rPr>
          <w:rFonts w:ascii="Arial" w:hAnsi="Arial" w:cs="Arial"/>
          <w:b/>
          <w:highlight w:val="yellow"/>
        </w:rPr>
      </w:pPr>
      <w:bookmarkStart w:id="0" w:name="_GoBack"/>
      <w:bookmarkEnd w:id="0"/>
    </w:p>
    <w:tbl>
      <w:tblPr>
        <w:tblW w:w="10314" w:type="dxa"/>
        <w:tblLayout w:type="fixed"/>
        <w:tblLook w:val="0000" w:firstRow="0" w:lastRow="0" w:firstColumn="0" w:lastColumn="0" w:noHBand="0" w:noVBand="0"/>
      </w:tblPr>
      <w:tblGrid>
        <w:gridCol w:w="6912"/>
        <w:gridCol w:w="3402"/>
      </w:tblGrid>
      <w:tr w:rsidR="00242633" w:rsidRPr="00784955" w14:paraId="78FEB8FA" w14:textId="77777777" w:rsidTr="00951B2B">
        <w:tc>
          <w:tcPr>
            <w:tcW w:w="6912" w:type="dxa"/>
          </w:tcPr>
          <w:p w14:paraId="135EC2CA" w14:textId="77777777" w:rsidR="0022394C" w:rsidRDefault="00242633" w:rsidP="0022394C">
            <w:pPr>
              <w:pStyle w:val="Heading7"/>
              <w:spacing w:after="0"/>
              <w:rPr>
                <w:rFonts w:ascii="Arial" w:hAnsi="Arial" w:cs="Arial"/>
                <w:szCs w:val="24"/>
              </w:rPr>
            </w:pPr>
            <w:r w:rsidRPr="00784955">
              <w:rPr>
                <w:rFonts w:ascii="Arial" w:hAnsi="Arial" w:cs="Arial"/>
                <w:szCs w:val="24"/>
              </w:rPr>
              <w:t>WEST LONDON WASTE AUTHORITY</w:t>
            </w:r>
          </w:p>
          <w:p w14:paraId="35638BF6" w14:textId="77777777" w:rsidR="0022394C" w:rsidRPr="0022394C" w:rsidRDefault="0022394C" w:rsidP="0022394C">
            <w:pPr>
              <w:pStyle w:val="Heading7"/>
            </w:pPr>
            <w:r w:rsidRPr="0022394C">
              <w:rPr>
                <w:rFonts w:ascii="Arial" w:hAnsi="Arial" w:cs="Arial"/>
                <w:szCs w:val="24"/>
              </w:rPr>
              <w:t>AUDIT COMMITTEE</w:t>
            </w:r>
            <w:r>
              <w:t xml:space="preserve"> </w:t>
            </w:r>
          </w:p>
        </w:tc>
        <w:tc>
          <w:tcPr>
            <w:tcW w:w="3402" w:type="dxa"/>
          </w:tcPr>
          <w:p w14:paraId="46FD2845" w14:textId="77777777" w:rsidR="00242633" w:rsidRPr="00784955" w:rsidRDefault="00242633" w:rsidP="005E6835">
            <w:pPr>
              <w:spacing w:after="240"/>
              <w:ind w:right="317"/>
              <w:jc w:val="right"/>
              <w:rPr>
                <w:rFonts w:ascii="Arial" w:hAnsi="Arial" w:cs="Arial"/>
                <w:szCs w:val="24"/>
              </w:rPr>
            </w:pPr>
          </w:p>
        </w:tc>
      </w:tr>
      <w:tr w:rsidR="00242633" w:rsidRPr="00784955" w14:paraId="7E234834" w14:textId="77777777" w:rsidTr="00951B2B">
        <w:tc>
          <w:tcPr>
            <w:tcW w:w="6912" w:type="dxa"/>
          </w:tcPr>
          <w:p w14:paraId="5F0B4DD2" w14:textId="77777777" w:rsidR="00242633" w:rsidRPr="00D67B0C" w:rsidRDefault="00242633" w:rsidP="005F5A17">
            <w:pPr>
              <w:spacing w:after="240"/>
              <w:rPr>
                <w:rFonts w:ascii="Arial" w:hAnsi="Arial" w:cs="Arial"/>
                <w:szCs w:val="24"/>
              </w:rPr>
            </w:pPr>
            <w:r w:rsidRPr="00784955">
              <w:rPr>
                <w:rFonts w:ascii="Arial" w:hAnsi="Arial" w:cs="Arial"/>
                <w:szCs w:val="24"/>
              </w:rPr>
              <w:t xml:space="preserve">Report of the </w:t>
            </w:r>
            <w:r w:rsidR="00D67B0C">
              <w:rPr>
                <w:rFonts w:ascii="Arial" w:hAnsi="Arial" w:cs="Arial"/>
                <w:szCs w:val="24"/>
              </w:rPr>
              <w:t>Treasurer</w:t>
            </w:r>
            <w:r w:rsidR="004C2B15">
              <w:rPr>
                <w:rFonts w:ascii="Arial" w:hAnsi="Arial" w:cs="Arial"/>
                <w:szCs w:val="24"/>
              </w:rPr>
              <w:t xml:space="preserve"> </w:t>
            </w:r>
          </w:p>
        </w:tc>
        <w:tc>
          <w:tcPr>
            <w:tcW w:w="3402" w:type="dxa"/>
          </w:tcPr>
          <w:p w14:paraId="4FB56CFF" w14:textId="29C9FC7C" w:rsidR="00242633" w:rsidRPr="00784955" w:rsidRDefault="00EE6169" w:rsidP="00EE6169">
            <w:pPr>
              <w:spacing w:after="240"/>
              <w:ind w:left="34"/>
              <w:jc w:val="right"/>
              <w:rPr>
                <w:rFonts w:ascii="Arial" w:hAnsi="Arial" w:cs="Arial"/>
                <w:szCs w:val="24"/>
              </w:rPr>
            </w:pPr>
            <w:r>
              <w:rPr>
                <w:rFonts w:ascii="Arial" w:hAnsi="Arial" w:cs="Arial"/>
                <w:szCs w:val="24"/>
              </w:rPr>
              <w:t>23</w:t>
            </w:r>
            <w:r w:rsidR="004E4A99">
              <w:rPr>
                <w:rFonts w:ascii="Arial" w:hAnsi="Arial" w:cs="Arial"/>
                <w:szCs w:val="24"/>
              </w:rPr>
              <w:t xml:space="preserve"> June 202</w:t>
            </w:r>
            <w:r w:rsidR="00434CDF">
              <w:rPr>
                <w:rFonts w:ascii="Arial" w:hAnsi="Arial" w:cs="Arial"/>
                <w:szCs w:val="24"/>
              </w:rPr>
              <w:t>3</w:t>
            </w:r>
          </w:p>
        </w:tc>
      </w:tr>
      <w:tr w:rsidR="00242633" w:rsidRPr="00784955" w14:paraId="525A16F8" w14:textId="77777777" w:rsidTr="00951B2B">
        <w:trPr>
          <w:cantSplit/>
        </w:trPr>
        <w:tc>
          <w:tcPr>
            <w:tcW w:w="10314" w:type="dxa"/>
            <w:gridSpan w:val="2"/>
          </w:tcPr>
          <w:p w14:paraId="2A95DD5E" w14:textId="77777777" w:rsidR="00242633" w:rsidRPr="00784955" w:rsidRDefault="00C37937" w:rsidP="004E4A99">
            <w:pPr>
              <w:spacing w:after="360"/>
              <w:rPr>
                <w:rFonts w:ascii="Arial" w:hAnsi="Arial" w:cs="Arial"/>
                <w:b/>
                <w:szCs w:val="24"/>
              </w:rPr>
            </w:pPr>
            <w:r>
              <w:rPr>
                <w:rFonts w:ascii="Arial" w:hAnsi="Arial" w:cs="Arial"/>
                <w:b/>
                <w:szCs w:val="24"/>
              </w:rPr>
              <w:t xml:space="preserve">Draft Statement of Accounts </w:t>
            </w:r>
            <w:r w:rsidR="004E4A99">
              <w:rPr>
                <w:rFonts w:ascii="Arial" w:hAnsi="Arial" w:cs="Arial"/>
                <w:b/>
                <w:szCs w:val="24"/>
              </w:rPr>
              <w:t>for the year ending 31 March 202</w:t>
            </w:r>
            <w:r w:rsidR="00434CDF">
              <w:rPr>
                <w:rFonts w:ascii="Arial" w:hAnsi="Arial" w:cs="Arial"/>
                <w:b/>
                <w:szCs w:val="24"/>
              </w:rPr>
              <w:t>3</w:t>
            </w:r>
          </w:p>
        </w:tc>
      </w:tr>
      <w:tr w:rsidR="00242633" w:rsidRPr="00784955" w14:paraId="69A6C47C" w14:textId="77777777" w:rsidTr="00951B2B">
        <w:trPr>
          <w:cantSplit/>
        </w:trPr>
        <w:tc>
          <w:tcPr>
            <w:tcW w:w="10314" w:type="dxa"/>
            <w:gridSpan w:val="2"/>
            <w:tcBorders>
              <w:top w:val="single" w:sz="4" w:space="0" w:color="auto"/>
              <w:left w:val="single" w:sz="4" w:space="0" w:color="auto"/>
              <w:right w:val="single" w:sz="4" w:space="0" w:color="auto"/>
            </w:tcBorders>
          </w:tcPr>
          <w:p w14:paraId="65300E4B"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7FA14A27" w14:textId="77777777" w:rsidR="00C13CC9" w:rsidRPr="00784955" w:rsidRDefault="00784955" w:rsidP="00434CDF">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w:t>
            </w:r>
            <w:r w:rsidR="00853C8A">
              <w:rPr>
                <w:rFonts w:ascii="Arial" w:hAnsi="Arial" w:cs="Arial"/>
                <w:szCs w:val="24"/>
                <w:lang w:val="en-GB"/>
              </w:rPr>
              <w:t xml:space="preserve">esents the </w:t>
            </w:r>
            <w:r w:rsidR="0036607D">
              <w:rPr>
                <w:rFonts w:ascii="Arial" w:hAnsi="Arial" w:cs="Arial"/>
                <w:szCs w:val="24"/>
                <w:lang w:val="en-GB"/>
              </w:rPr>
              <w:t>d</w:t>
            </w:r>
            <w:r w:rsidR="002E7AC2">
              <w:rPr>
                <w:rFonts w:ascii="Arial" w:hAnsi="Arial" w:cs="Arial"/>
                <w:szCs w:val="24"/>
                <w:lang w:val="en-GB"/>
              </w:rPr>
              <w:t xml:space="preserve">raft </w:t>
            </w:r>
            <w:r w:rsidR="00434CDF">
              <w:rPr>
                <w:rFonts w:ascii="Arial" w:hAnsi="Arial" w:cs="Arial"/>
                <w:szCs w:val="24"/>
                <w:lang w:val="en-GB"/>
              </w:rPr>
              <w:t>2022/23</w:t>
            </w:r>
            <w:r w:rsidR="00DF1028">
              <w:rPr>
                <w:rFonts w:ascii="Arial" w:hAnsi="Arial" w:cs="Arial"/>
                <w:szCs w:val="24"/>
                <w:lang w:val="en-GB"/>
              </w:rPr>
              <w:t xml:space="preserve"> </w:t>
            </w:r>
            <w:r w:rsidR="0036607D">
              <w:rPr>
                <w:rFonts w:ascii="Arial" w:hAnsi="Arial" w:cs="Arial"/>
                <w:szCs w:val="24"/>
                <w:lang w:val="en-GB"/>
              </w:rPr>
              <w:t>S</w:t>
            </w:r>
            <w:r w:rsidR="002E7AC2">
              <w:rPr>
                <w:rFonts w:ascii="Arial" w:hAnsi="Arial" w:cs="Arial"/>
                <w:szCs w:val="24"/>
                <w:lang w:val="en-GB"/>
              </w:rPr>
              <w:t>tatement of Accounts</w:t>
            </w:r>
            <w:r w:rsidR="00853C8A">
              <w:rPr>
                <w:rFonts w:ascii="Arial" w:hAnsi="Arial" w:cs="Arial"/>
                <w:szCs w:val="24"/>
                <w:lang w:val="en-GB"/>
              </w:rPr>
              <w:t xml:space="preserve"> </w:t>
            </w:r>
          </w:p>
        </w:tc>
      </w:tr>
      <w:tr w:rsidR="00242633" w:rsidRPr="00784955" w14:paraId="705D9B71" w14:textId="77777777" w:rsidTr="00951B2B">
        <w:trPr>
          <w:cantSplit/>
        </w:trPr>
        <w:tc>
          <w:tcPr>
            <w:tcW w:w="10314" w:type="dxa"/>
            <w:gridSpan w:val="2"/>
            <w:tcBorders>
              <w:top w:val="single" w:sz="4" w:space="0" w:color="auto"/>
              <w:bottom w:val="single" w:sz="4" w:space="0" w:color="auto"/>
            </w:tcBorders>
          </w:tcPr>
          <w:p w14:paraId="3DCCAEE0" w14:textId="77777777" w:rsidR="00242633" w:rsidRPr="00784955" w:rsidRDefault="00242633">
            <w:pPr>
              <w:spacing w:after="120"/>
              <w:rPr>
                <w:rFonts w:ascii="Arial" w:hAnsi="Arial" w:cs="Arial"/>
                <w:b/>
                <w:szCs w:val="24"/>
              </w:rPr>
            </w:pPr>
          </w:p>
        </w:tc>
      </w:tr>
      <w:tr w:rsidR="00242633" w:rsidRPr="00784955" w14:paraId="4EEA821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221369C" w14:textId="77777777" w:rsidR="00242633" w:rsidRPr="0015533E" w:rsidRDefault="00242633">
            <w:pPr>
              <w:spacing w:before="120" w:after="120"/>
              <w:rPr>
                <w:rFonts w:ascii="Arial" w:hAnsi="Arial" w:cs="Arial"/>
                <w:szCs w:val="24"/>
              </w:rPr>
            </w:pPr>
            <w:r w:rsidRPr="0015533E">
              <w:rPr>
                <w:rFonts w:ascii="Arial" w:hAnsi="Arial" w:cs="Arial"/>
                <w:b/>
                <w:szCs w:val="24"/>
              </w:rPr>
              <w:t>RECOMMENDATION</w:t>
            </w:r>
            <w:r w:rsidR="00F909D8" w:rsidRPr="0015533E">
              <w:rPr>
                <w:rFonts w:ascii="Arial" w:hAnsi="Arial" w:cs="Arial"/>
                <w:b/>
                <w:szCs w:val="24"/>
              </w:rPr>
              <w:t>(S)</w:t>
            </w:r>
          </w:p>
          <w:p w14:paraId="5F38E28D" w14:textId="77777777" w:rsidR="00C1425C" w:rsidRPr="0015533E" w:rsidRDefault="005F0B46" w:rsidP="00C1425C">
            <w:pPr>
              <w:pStyle w:val="Header"/>
              <w:tabs>
                <w:tab w:val="clear" w:pos="4153"/>
                <w:tab w:val="clear" w:pos="8306"/>
              </w:tabs>
              <w:spacing w:after="240"/>
              <w:jc w:val="both"/>
              <w:rPr>
                <w:rFonts w:ascii="Arial" w:hAnsi="Arial" w:cs="Arial"/>
                <w:szCs w:val="24"/>
              </w:rPr>
            </w:pPr>
            <w:r w:rsidRPr="0015533E">
              <w:rPr>
                <w:rFonts w:ascii="Arial" w:hAnsi="Arial" w:cs="Arial"/>
                <w:szCs w:val="24"/>
              </w:rPr>
              <w:t xml:space="preserve">The Authority </w:t>
            </w:r>
            <w:r w:rsidR="00E23658" w:rsidRPr="0015533E">
              <w:rPr>
                <w:rFonts w:ascii="Arial" w:hAnsi="Arial" w:cs="Arial"/>
                <w:szCs w:val="24"/>
              </w:rPr>
              <w:t>is asked to:-</w:t>
            </w:r>
          </w:p>
          <w:p w14:paraId="245819EF" w14:textId="77777777" w:rsidR="00232345" w:rsidRPr="0015533E" w:rsidRDefault="00D67B0C" w:rsidP="00DF1028">
            <w:pPr>
              <w:pStyle w:val="Header"/>
              <w:numPr>
                <w:ilvl w:val="0"/>
                <w:numId w:val="4"/>
              </w:numPr>
              <w:tabs>
                <w:tab w:val="clear" w:pos="4153"/>
                <w:tab w:val="clear" w:pos="8306"/>
              </w:tabs>
              <w:spacing w:after="240"/>
              <w:jc w:val="both"/>
              <w:rPr>
                <w:rFonts w:ascii="Arial" w:hAnsi="Arial" w:cs="Arial"/>
                <w:i/>
                <w:szCs w:val="24"/>
              </w:rPr>
            </w:pPr>
            <w:r w:rsidRPr="0015533E">
              <w:rPr>
                <w:rFonts w:ascii="Arial" w:hAnsi="Arial" w:cs="Arial"/>
                <w:szCs w:val="24"/>
              </w:rPr>
              <w:t xml:space="preserve">Note the </w:t>
            </w:r>
            <w:r w:rsidR="005F1299" w:rsidRPr="0015533E">
              <w:rPr>
                <w:rFonts w:ascii="Arial" w:hAnsi="Arial" w:cs="Arial"/>
                <w:b/>
                <w:szCs w:val="24"/>
              </w:rPr>
              <w:t>D</w:t>
            </w:r>
            <w:r w:rsidR="0036607D" w:rsidRPr="0015533E">
              <w:rPr>
                <w:rFonts w:ascii="Arial" w:hAnsi="Arial" w:cs="Arial"/>
                <w:b/>
                <w:szCs w:val="24"/>
              </w:rPr>
              <w:t>raft</w:t>
            </w:r>
            <w:r w:rsidR="0036607D" w:rsidRPr="0015533E">
              <w:rPr>
                <w:rFonts w:ascii="Arial" w:hAnsi="Arial" w:cs="Arial"/>
                <w:szCs w:val="24"/>
              </w:rPr>
              <w:t xml:space="preserve"> Statement of Accounts </w:t>
            </w:r>
            <w:r w:rsidR="00DF1028" w:rsidRPr="0015533E">
              <w:rPr>
                <w:rFonts w:ascii="Arial" w:hAnsi="Arial" w:cs="Arial"/>
                <w:szCs w:val="24"/>
                <w:lang w:val="en-GB"/>
              </w:rPr>
              <w:t xml:space="preserve">for </w:t>
            </w:r>
            <w:r w:rsidR="00434CDF">
              <w:rPr>
                <w:rFonts w:ascii="Arial" w:hAnsi="Arial" w:cs="Arial"/>
                <w:szCs w:val="24"/>
                <w:lang w:val="en-GB"/>
              </w:rPr>
              <w:t>2022/23</w:t>
            </w:r>
            <w:r w:rsidR="00DF1028" w:rsidRPr="0015533E">
              <w:rPr>
                <w:rFonts w:ascii="Arial" w:hAnsi="Arial" w:cs="Arial"/>
                <w:szCs w:val="24"/>
                <w:lang w:val="en-GB"/>
              </w:rPr>
              <w:t xml:space="preserve"> </w:t>
            </w:r>
            <w:r w:rsidR="00655BC0" w:rsidRPr="0015533E">
              <w:rPr>
                <w:rFonts w:ascii="Arial" w:hAnsi="Arial" w:cs="Arial"/>
                <w:szCs w:val="24"/>
              </w:rPr>
              <w:t xml:space="preserve">(Appendix </w:t>
            </w:r>
            <w:r w:rsidR="00684046">
              <w:rPr>
                <w:rFonts w:ascii="Arial" w:hAnsi="Arial" w:cs="Arial"/>
                <w:szCs w:val="24"/>
                <w:lang w:val="en-GB"/>
              </w:rPr>
              <w:t>1</w:t>
            </w:r>
            <w:r w:rsidR="0085777B" w:rsidRPr="0015533E">
              <w:rPr>
                <w:rFonts w:ascii="Arial" w:hAnsi="Arial" w:cs="Arial"/>
                <w:szCs w:val="24"/>
              </w:rPr>
              <w:t>)</w:t>
            </w:r>
          </w:p>
          <w:p w14:paraId="09BE53C3" w14:textId="04D6C598" w:rsidR="00DC117F" w:rsidRPr="00446881" w:rsidRDefault="00DF1028" w:rsidP="00C26270">
            <w:pPr>
              <w:pStyle w:val="Header"/>
              <w:numPr>
                <w:ilvl w:val="0"/>
                <w:numId w:val="4"/>
              </w:numPr>
              <w:tabs>
                <w:tab w:val="clear" w:pos="4153"/>
                <w:tab w:val="clear" w:pos="8306"/>
              </w:tabs>
              <w:spacing w:after="240"/>
              <w:jc w:val="both"/>
              <w:rPr>
                <w:rFonts w:ascii="Arial" w:hAnsi="Arial" w:cs="Arial"/>
                <w:i/>
                <w:szCs w:val="24"/>
              </w:rPr>
            </w:pPr>
            <w:r w:rsidRPr="00C26270">
              <w:rPr>
                <w:rFonts w:ascii="Arial" w:hAnsi="Arial" w:cs="Arial"/>
                <w:szCs w:val="24"/>
                <w:lang w:val="en-GB"/>
              </w:rPr>
              <w:t xml:space="preserve">Approve the disbursement of </w:t>
            </w:r>
            <w:r w:rsidR="00C26270" w:rsidRPr="00C26270">
              <w:rPr>
                <w:rFonts w:ascii="Arial" w:hAnsi="Arial" w:cs="Arial"/>
                <w:szCs w:val="24"/>
                <w:lang w:val="en-GB"/>
              </w:rPr>
              <w:t>PPP contract income</w:t>
            </w:r>
            <w:r w:rsidRPr="00C26270">
              <w:rPr>
                <w:rFonts w:ascii="Arial" w:hAnsi="Arial" w:cs="Arial"/>
                <w:szCs w:val="24"/>
                <w:lang w:val="en-GB"/>
              </w:rPr>
              <w:t xml:space="preserve"> totalling </w:t>
            </w:r>
            <w:r w:rsidR="00556097" w:rsidRPr="00C26270">
              <w:rPr>
                <w:rFonts w:ascii="Arial" w:hAnsi="Arial" w:cs="Arial"/>
                <w:szCs w:val="24"/>
                <w:lang w:val="en-GB"/>
              </w:rPr>
              <w:t>£</w:t>
            </w:r>
            <w:r w:rsidR="00434CDF" w:rsidRPr="00C26270">
              <w:rPr>
                <w:rFonts w:ascii="Arial" w:hAnsi="Arial" w:cs="Arial"/>
                <w:szCs w:val="24"/>
                <w:lang w:val="en-GB"/>
              </w:rPr>
              <w:t xml:space="preserve">12.7 </w:t>
            </w:r>
            <w:r w:rsidRPr="00C26270">
              <w:rPr>
                <w:rFonts w:ascii="Arial" w:hAnsi="Arial" w:cs="Arial"/>
                <w:szCs w:val="24"/>
                <w:lang w:val="en-GB"/>
              </w:rPr>
              <w:t>million (section</w:t>
            </w:r>
            <w:r w:rsidR="00C26270" w:rsidRPr="00C26270">
              <w:rPr>
                <w:rFonts w:ascii="Arial" w:hAnsi="Arial" w:cs="Arial"/>
                <w:szCs w:val="24"/>
                <w:lang w:val="en-GB"/>
              </w:rPr>
              <w:t xml:space="preserve"> 1</w:t>
            </w:r>
            <w:r w:rsidR="003F6D79">
              <w:rPr>
                <w:rFonts w:ascii="Arial" w:hAnsi="Arial" w:cs="Arial"/>
                <w:szCs w:val="24"/>
                <w:lang w:val="en-GB"/>
              </w:rPr>
              <w:t>3</w:t>
            </w:r>
            <w:r w:rsidRPr="00C26270">
              <w:rPr>
                <w:rFonts w:ascii="Arial" w:hAnsi="Arial" w:cs="Arial"/>
                <w:szCs w:val="24"/>
                <w:lang w:val="en-GB"/>
              </w:rPr>
              <w:t>)</w:t>
            </w:r>
          </w:p>
          <w:p w14:paraId="6D5AC954" w14:textId="5B8157F3" w:rsidR="000C784C" w:rsidRPr="00942E58" w:rsidRDefault="000C784C" w:rsidP="00C26270">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Approve the disbursement of excess reserves totalling £3.3 million (section 24)</w:t>
            </w:r>
          </w:p>
        </w:tc>
      </w:tr>
    </w:tbl>
    <w:p w14:paraId="158D9FD3" w14:textId="77777777" w:rsidR="009F7880" w:rsidRDefault="009F7880" w:rsidP="00C2799A">
      <w:pPr>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14:paraId="7539119B" w14:textId="77777777" w:rsidR="00CE0EDB" w:rsidRPr="00CE0EDB" w:rsidRDefault="00195B45" w:rsidP="0022394C">
      <w:pPr>
        <w:pStyle w:val="ListParagraph"/>
        <w:numPr>
          <w:ilvl w:val="0"/>
          <w:numId w:val="30"/>
        </w:numPr>
        <w:spacing w:after="120"/>
        <w:jc w:val="both"/>
        <w:rPr>
          <w:sz w:val="24"/>
          <w:szCs w:val="24"/>
          <w:lang w:val="en-US"/>
        </w:rPr>
      </w:pPr>
      <w:r>
        <w:rPr>
          <w:sz w:val="24"/>
          <w:szCs w:val="24"/>
          <w:lang w:val="en-US"/>
        </w:rPr>
        <w:t>T</w:t>
      </w:r>
      <w:r w:rsidRPr="00A10A75">
        <w:rPr>
          <w:sz w:val="24"/>
          <w:szCs w:val="24"/>
          <w:lang w:val="en-US"/>
        </w:rPr>
        <w:t>he draft 202</w:t>
      </w:r>
      <w:r w:rsidR="00D3406C">
        <w:rPr>
          <w:sz w:val="24"/>
          <w:szCs w:val="24"/>
          <w:lang w:val="en-US"/>
        </w:rPr>
        <w:t>2</w:t>
      </w:r>
      <w:r w:rsidRPr="00A10A75">
        <w:rPr>
          <w:sz w:val="24"/>
          <w:szCs w:val="24"/>
          <w:lang w:val="en-US"/>
        </w:rPr>
        <w:t>/2</w:t>
      </w:r>
      <w:r w:rsidR="00D3406C">
        <w:rPr>
          <w:sz w:val="24"/>
          <w:szCs w:val="24"/>
          <w:lang w:val="en-US"/>
        </w:rPr>
        <w:t>3</w:t>
      </w:r>
      <w:r w:rsidRPr="00A10A75">
        <w:rPr>
          <w:sz w:val="24"/>
          <w:szCs w:val="24"/>
          <w:lang w:val="en-US"/>
        </w:rPr>
        <w:t xml:space="preserve"> accounts were produced as usual in April and were ready for audit by EY, our external auditors </w:t>
      </w:r>
      <w:r>
        <w:rPr>
          <w:sz w:val="24"/>
          <w:szCs w:val="24"/>
          <w:lang w:val="en-US"/>
        </w:rPr>
        <w:t xml:space="preserve">from </w:t>
      </w:r>
      <w:r w:rsidRPr="00A10A75">
        <w:rPr>
          <w:sz w:val="24"/>
          <w:szCs w:val="24"/>
          <w:lang w:val="en-US"/>
        </w:rPr>
        <w:t>May</w:t>
      </w:r>
      <w:r>
        <w:rPr>
          <w:sz w:val="24"/>
          <w:szCs w:val="24"/>
          <w:lang w:val="en-US"/>
        </w:rPr>
        <w:t xml:space="preserve">. </w:t>
      </w:r>
      <w:r w:rsidR="00DF1028" w:rsidRPr="00A10A75">
        <w:rPr>
          <w:sz w:val="24"/>
          <w:szCs w:val="24"/>
          <w:lang w:eastAsia="en-GB"/>
        </w:rPr>
        <w:t xml:space="preserve">EY’s </w:t>
      </w:r>
      <w:r w:rsidR="00D3406C">
        <w:rPr>
          <w:sz w:val="24"/>
          <w:szCs w:val="24"/>
          <w:lang w:eastAsia="en-GB"/>
        </w:rPr>
        <w:t xml:space="preserve">audit </w:t>
      </w:r>
      <w:r w:rsidR="00DF1028" w:rsidRPr="00A10A75">
        <w:rPr>
          <w:sz w:val="24"/>
          <w:szCs w:val="24"/>
          <w:lang w:eastAsia="en-GB"/>
        </w:rPr>
        <w:t xml:space="preserve">work </w:t>
      </w:r>
      <w:r w:rsidR="00D3406C">
        <w:rPr>
          <w:sz w:val="24"/>
          <w:szCs w:val="24"/>
          <w:lang w:eastAsia="en-GB"/>
        </w:rPr>
        <w:t>yet to commence as they have just finalised their audit work on 2021/22 accounts.</w:t>
      </w:r>
    </w:p>
    <w:p w14:paraId="29654ABD" w14:textId="77777777" w:rsidR="00CE0EDB" w:rsidRPr="00CE0EDB" w:rsidRDefault="00CE0EDB" w:rsidP="00CE0EDB">
      <w:pPr>
        <w:pStyle w:val="ListParagraph"/>
        <w:rPr>
          <w:sz w:val="24"/>
          <w:szCs w:val="24"/>
          <w:lang w:eastAsia="en-GB"/>
        </w:rPr>
      </w:pPr>
    </w:p>
    <w:p w14:paraId="2DF11000" w14:textId="77777777" w:rsidR="00F01EF6" w:rsidRDefault="00CE0EDB" w:rsidP="0022394C">
      <w:pPr>
        <w:pStyle w:val="ListParagraph"/>
        <w:numPr>
          <w:ilvl w:val="0"/>
          <w:numId w:val="30"/>
        </w:numPr>
        <w:spacing w:after="120"/>
        <w:jc w:val="both"/>
        <w:rPr>
          <w:sz w:val="24"/>
          <w:szCs w:val="24"/>
          <w:lang w:val="en-US"/>
        </w:rPr>
      </w:pPr>
      <w:r>
        <w:rPr>
          <w:sz w:val="24"/>
          <w:szCs w:val="24"/>
          <w:lang w:eastAsia="en-GB"/>
        </w:rPr>
        <w:t>A</w:t>
      </w:r>
      <w:r w:rsidR="00DF1028" w:rsidRPr="00A10A75">
        <w:rPr>
          <w:sz w:val="24"/>
          <w:szCs w:val="24"/>
          <w:lang w:eastAsia="en-GB"/>
        </w:rPr>
        <w:t xml:space="preserve"> summary of the draft statement of accounts is provided below</w:t>
      </w:r>
      <w:r w:rsidR="00ED6DDE" w:rsidRPr="0022394C">
        <w:rPr>
          <w:sz w:val="24"/>
          <w:szCs w:val="24"/>
          <w:lang w:val="en-US"/>
        </w:rPr>
        <w:t>.</w:t>
      </w:r>
      <w:r w:rsidR="008C3C59">
        <w:rPr>
          <w:sz w:val="24"/>
          <w:szCs w:val="24"/>
          <w:lang w:val="en-US"/>
        </w:rPr>
        <w:t xml:space="preserve"> It should be noted that</w:t>
      </w:r>
      <w:r w:rsidR="00D3406C">
        <w:rPr>
          <w:sz w:val="24"/>
          <w:szCs w:val="24"/>
          <w:lang w:val="en-US"/>
        </w:rPr>
        <w:t xml:space="preserve"> at the end of April 2022,</w:t>
      </w:r>
      <w:r w:rsidR="008C3C59">
        <w:rPr>
          <w:sz w:val="24"/>
          <w:szCs w:val="24"/>
          <w:lang w:val="en-US"/>
        </w:rPr>
        <w:t xml:space="preserve"> </w:t>
      </w:r>
      <w:r w:rsidR="00D3406C">
        <w:rPr>
          <w:sz w:val="24"/>
          <w:szCs w:val="24"/>
          <w:lang w:val="en-US"/>
        </w:rPr>
        <w:t>the auditors had requested for an updated IAS19 report in relation to pensions for 2021/22.  This was due to the triennial valuations taking place after March 2022</w:t>
      </w:r>
      <w:r w:rsidR="00F01EF6">
        <w:rPr>
          <w:sz w:val="24"/>
          <w:szCs w:val="24"/>
          <w:lang w:val="en-US"/>
        </w:rPr>
        <w:t xml:space="preserve"> and the audit standard ISA540 requiring further information to see whether the revaluation may indicate a material difference or error</w:t>
      </w:r>
      <w:r w:rsidR="00D3406C">
        <w:rPr>
          <w:sz w:val="24"/>
          <w:szCs w:val="24"/>
          <w:lang w:val="en-US"/>
        </w:rPr>
        <w:t xml:space="preserve">.  </w:t>
      </w:r>
    </w:p>
    <w:p w14:paraId="13FF9397" w14:textId="77777777" w:rsidR="00F01EF6" w:rsidRPr="00F01EF6" w:rsidRDefault="00F01EF6" w:rsidP="00F01EF6">
      <w:pPr>
        <w:pStyle w:val="ListParagraph"/>
        <w:rPr>
          <w:sz w:val="24"/>
          <w:szCs w:val="24"/>
          <w:lang w:val="en-US"/>
        </w:rPr>
      </w:pPr>
    </w:p>
    <w:p w14:paraId="4ECDB530" w14:textId="77777777" w:rsidR="007F399C" w:rsidRDefault="00D3406C" w:rsidP="00F01EF6">
      <w:pPr>
        <w:pStyle w:val="ListParagraph"/>
        <w:spacing w:after="120"/>
        <w:ind w:left="360"/>
        <w:jc w:val="both"/>
        <w:rPr>
          <w:sz w:val="24"/>
          <w:szCs w:val="24"/>
          <w:lang w:val="en-US"/>
        </w:rPr>
      </w:pPr>
      <w:r>
        <w:rPr>
          <w:sz w:val="24"/>
          <w:szCs w:val="24"/>
          <w:lang w:val="en-US"/>
        </w:rPr>
        <w:t>Due to this request, a</w:t>
      </w:r>
      <w:r w:rsidR="00924365">
        <w:rPr>
          <w:sz w:val="24"/>
          <w:szCs w:val="24"/>
          <w:lang w:val="en-US"/>
        </w:rPr>
        <w:t xml:space="preserve">nd the Pension providers </w:t>
      </w:r>
      <w:proofErr w:type="spellStart"/>
      <w:r w:rsidR="00924365">
        <w:rPr>
          <w:sz w:val="24"/>
          <w:szCs w:val="24"/>
          <w:lang w:val="en-US"/>
        </w:rPr>
        <w:t>finalis</w:t>
      </w:r>
      <w:r>
        <w:rPr>
          <w:sz w:val="24"/>
          <w:szCs w:val="24"/>
          <w:lang w:val="en-US"/>
        </w:rPr>
        <w:t>ing</w:t>
      </w:r>
      <w:proofErr w:type="spellEnd"/>
      <w:r>
        <w:rPr>
          <w:sz w:val="24"/>
          <w:szCs w:val="24"/>
          <w:lang w:val="en-US"/>
        </w:rPr>
        <w:t xml:space="preserve"> an updated FY22 report, there has been a delay in the 2022/23 pension scheme valuation, and these figures have not been included in the draft accounts.</w:t>
      </w:r>
    </w:p>
    <w:p w14:paraId="44ACC828" w14:textId="77777777" w:rsidR="00C6622F" w:rsidRDefault="00C6622F" w:rsidP="00BC1677">
      <w:pPr>
        <w:ind w:left="170"/>
        <w:jc w:val="both"/>
        <w:rPr>
          <w:rFonts w:ascii="Arial" w:hAnsi="Arial" w:cs="Arial"/>
          <w:szCs w:val="24"/>
          <w:lang w:val="en-US"/>
        </w:rPr>
      </w:pPr>
    </w:p>
    <w:p w14:paraId="33877894" w14:textId="77777777" w:rsidR="00DF1028" w:rsidRPr="00A10A75" w:rsidRDefault="00DF1028" w:rsidP="00DF1028">
      <w:pPr>
        <w:autoSpaceDE w:val="0"/>
        <w:autoSpaceDN w:val="0"/>
        <w:adjustRightInd w:val="0"/>
        <w:spacing w:after="120"/>
        <w:jc w:val="both"/>
        <w:rPr>
          <w:rFonts w:ascii="Arial" w:hAnsi="Arial" w:cs="Arial"/>
          <w:szCs w:val="24"/>
          <w:lang w:eastAsia="en-GB"/>
        </w:rPr>
      </w:pPr>
      <w:r w:rsidRPr="00A10A75">
        <w:rPr>
          <w:rFonts w:ascii="Arial" w:hAnsi="Arial" w:cs="Arial"/>
          <w:b/>
          <w:szCs w:val="24"/>
          <w:lang w:eastAsia="en-GB"/>
        </w:rPr>
        <w:t>Statement of Accounts</w:t>
      </w:r>
      <w:r w:rsidRPr="00A10A75">
        <w:rPr>
          <w:rFonts w:ascii="Arial" w:hAnsi="Arial" w:cs="Arial"/>
          <w:szCs w:val="24"/>
          <w:lang w:eastAsia="en-GB"/>
        </w:rPr>
        <w:t xml:space="preserve"> </w:t>
      </w:r>
    </w:p>
    <w:p w14:paraId="6F299BA2"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The Statement of Accounts can be found in Appendix </w:t>
      </w:r>
      <w:r w:rsidR="00684046">
        <w:rPr>
          <w:sz w:val="24"/>
          <w:szCs w:val="24"/>
          <w:lang w:eastAsia="en-GB"/>
        </w:rPr>
        <w:t>1</w:t>
      </w:r>
      <w:r w:rsidRPr="00A10A75">
        <w:rPr>
          <w:sz w:val="24"/>
          <w:szCs w:val="24"/>
          <w:lang w:eastAsia="en-GB"/>
        </w:rPr>
        <w:t>. The key sections of the draft accounts are explained below:</w:t>
      </w:r>
    </w:p>
    <w:p w14:paraId="2A4475D6" w14:textId="77777777" w:rsidR="00DF1028" w:rsidRPr="00A10A75" w:rsidRDefault="00DF1028" w:rsidP="00DF1028">
      <w:pPr>
        <w:pStyle w:val="ListParagraph"/>
        <w:autoSpaceDE w:val="0"/>
        <w:autoSpaceDN w:val="0"/>
        <w:adjustRightInd w:val="0"/>
        <w:spacing w:after="120"/>
        <w:ind w:left="360"/>
        <w:jc w:val="both"/>
        <w:rPr>
          <w:sz w:val="24"/>
          <w:szCs w:val="24"/>
          <w:lang w:eastAsia="en-GB"/>
        </w:rPr>
      </w:pPr>
    </w:p>
    <w:p w14:paraId="1F696072"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Narrative Statement (page 2) – This section provides background about the Authority’s operations. It also summarises the financial position and performance for the year. </w:t>
      </w:r>
    </w:p>
    <w:p w14:paraId="28A5B6C1" w14:textId="77777777" w:rsidR="00DF1028" w:rsidRPr="00C4639F" w:rsidRDefault="00DF1028" w:rsidP="00C4639F">
      <w:pPr>
        <w:rPr>
          <w:szCs w:val="24"/>
          <w:lang w:eastAsia="en-GB"/>
        </w:rPr>
      </w:pPr>
    </w:p>
    <w:p w14:paraId="7860CC92"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Statement of Responsibilities for the Statement of Accounts (page </w:t>
      </w:r>
      <w:r w:rsidR="00C4639F">
        <w:rPr>
          <w:sz w:val="24"/>
          <w:szCs w:val="24"/>
          <w:lang w:eastAsia="en-GB"/>
        </w:rPr>
        <w:t>9</w:t>
      </w:r>
      <w:r w:rsidRPr="00A10A75">
        <w:rPr>
          <w:sz w:val="24"/>
          <w:szCs w:val="24"/>
          <w:lang w:eastAsia="en-GB"/>
        </w:rPr>
        <w:t xml:space="preserve">) - This is a brief statement outlining the Authority’s requirements in relation to the Accounts and the role and responsibility of the Treasurer, principally to ensure the accounts present a true and fair view </w:t>
      </w:r>
    </w:p>
    <w:p w14:paraId="349501AA" w14:textId="77777777" w:rsidR="00DF1028" w:rsidRPr="00A10A75" w:rsidRDefault="00DF1028" w:rsidP="00DF1028">
      <w:pPr>
        <w:pStyle w:val="ListParagraph"/>
        <w:autoSpaceDE w:val="0"/>
        <w:autoSpaceDN w:val="0"/>
        <w:adjustRightInd w:val="0"/>
        <w:spacing w:after="120"/>
        <w:ind w:left="360"/>
        <w:jc w:val="both"/>
        <w:rPr>
          <w:sz w:val="24"/>
          <w:szCs w:val="24"/>
          <w:lang w:eastAsia="en-GB"/>
        </w:rPr>
      </w:pPr>
      <w:r w:rsidRPr="00A10A75">
        <w:rPr>
          <w:sz w:val="24"/>
          <w:szCs w:val="24"/>
          <w:lang w:eastAsia="en-GB"/>
        </w:rPr>
        <w:lastRenderedPageBreak/>
        <w:t>of the Authority’s finances. This is where the Treasurer certifies the Statement of Accounts and the Chair signs them on behalf of the Authority.</w:t>
      </w:r>
    </w:p>
    <w:p w14:paraId="536D9DB7" w14:textId="77777777" w:rsidR="00DF1028" w:rsidRPr="00A10A75" w:rsidRDefault="00DF1028" w:rsidP="00DF1028">
      <w:pPr>
        <w:pStyle w:val="ListParagraph"/>
        <w:autoSpaceDE w:val="0"/>
        <w:autoSpaceDN w:val="0"/>
        <w:adjustRightInd w:val="0"/>
        <w:spacing w:after="120"/>
        <w:ind w:left="360"/>
        <w:jc w:val="both"/>
        <w:rPr>
          <w:sz w:val="24"/>
          <w:szCs w:val="24"/>
          <w:lang w:eastAsia="en-GB"/>
        </w:rPr>
      </w:pPr>
    </w:p>
    <w:p w14:paraId="2F484FD8"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Comprehensive Income and Expenditure Statement (page </w:t>
      </w:r>
      <w:r w:rsidR="00C4639F">
        <w:rPr>
          <w:sz w:val="24"/>
          <w:szCs w:val="24"/>
          <w:lang w:eastAsia="en-GB"/>
        </w:rPr>
        <w:t>11</w:t>
      </w:r>
      <w:r w:rsidRPr="00A10A75">
        <w:rPr>
          <w:sz w:val="24"/>
          <w:szCs w:val="24"/>
          <w:lang w:eastAsia="en-GB"/>
        </w:rPr>
        <w:t xml:space="preserve">) – This is a core financial statement. It shows the financial performance during the year. The operating performance is </w:t>
      </w:r>
      <w:r w:rsidRPr="00EC3617">
        <w:rPr>
          <w:sz w:val="24"/>
          <w:szCs w:val="24"/>
          <w:lang w:eastAsia="en-GB"/>
        </w:rPr>
        <w:t xml:space="preserve">highlighted in the </w:t>
      </w:r>
      <w:r w:rsidR="00EC3617" w:rsidRPr="00EC3617">
        <w:rPr>
          <w:sz w:val="24"/>
          <w:szCs w:val="24"/>
          <w:lang w:eastAsia="en-GB"/>
        </w:rPr>
        <w:t>surplus</w:t>
      </w:r>
      <w:r w:rsidRPr="00EC3617">
        <w:rPr>
          <w:sz w:val="24"/>
          <w:szCs w:val="24"/>
          <w:lang w:eastAsia="en-GB"/>
        </w:rPr>
        <w:t xml:space="preserve"> on provision of services of £</w:t>
      </w:r>
      <w:r w:rsidR="00653B07">
        <w:rPr>
          <w:sz w:val="24"/>
          <w:szCs w:val="24"/>
          <w:lang w:eastAsia="en-GB"/>
        </w:rPr>
        <w:t>5.</w:t>
      </w:r>
      <w:r w:rsidR="00DE7233">
        <w:rPr>
          <w:sz w:val="24"/>
          <w:szCs w:val="24"/>
          <w:lang w:eastAsia="en-GB"/>
        </w:rPr>
        <w:t>587</w:t>
      </w:r>
      <w:r w:rsidR="00653B07">
        <w:rPr>
          <w:sz w:val="24"/>
          <w:szCs w:val="24"/>
          <w:lang w:eastAsia="en-GB"/>
        </w:rPr>
        <w:t xml:space="preserve"> million</w:t>
      </w:r>
      <w:r w:rsidRPr="00EC3617">
        <w:rPr>
          <w:sz w:val="24"/>
          <w:szCs w:val="24"/>
          <w:lang w:eastAsia="en-GB"/>
        </w:rPr>
        <w:t>.</w:t>
      </w:r>
      <w:r w:rsidR="00F77EEF">
        <w:rPr>
          <w:sz w:val="24"/>
          <w:szCs w:val="24"/>
          <w:lang w:eastAsia="en-GB"/>
        </w:rPr>
        <w:t xml:space="preserve"> </w:t>
      </w:r>
      <w:r w:rsidR="00653B07">
        <w:rPr>
          <w:sz w:val="24"/>
          <w:szCs w:val="24"/>
          <w:lang w:eastAsia="en-GB"/>
        </w:rPr>
        <w:t>We are</w:t>
      </w:r>
      <w:r w:rsidR="00083E4C">
        <w:rPr>
          <w:sz w:val="24"/>
          <w:szCs w:val="24"/>
          <w:lang w:eastAsia="en-GB"/>
        </w:rPr>
        <w:t xml:space="preserve"> awaiting the pension valuation to verify if there is a gain or loss on the pension liability, so as it stands, there is a </w:t>
      </w:r>
      <w:r w:rsidRPr="00EC3617">
        <w:rPr>
          <w:sz w:val="24"/>
          <w:szCs w:val="24"/>
          <w:lang w:eastAsia="en-GB"/>
        </w:rPr>
        <w:t xml:space="preserve">total comprehensive </w:t>
      </w:r>
      <w:r w:rsidR="00653B07">
        <w:rPr>
          <w:sz w:val="24"/>
          <w:szCs w:val="24"/>
          <w:lang w:eastAsia="en-GB"/>
        </w:rPr>
        <w:t xml:space="preserve">income and </w:t>
      </w:r>
      <w:r w:rsidRPr="00EC3617">
        <w:rPr>
          <w:sz w:val="24"/>
          <w:szCs w:val="24"/>
          <w:lang w:eastAsia="en-GB"/>
        </w:rPr>
        <w:t>expenditure of £</w:t>
      </w:r>
      <w:r w:rsidR="00DE7233">
        <w:rPr>
          <w:sz w:val="24"/>
          <w:szCs w:val="24"/>
          <w:lang w:eastAsia="en-GB"/>
        </w:rPr>
        <w:t>5.587</w:t>
      </w:r>
      <w:r w:rsidRPr="00EC3617">
        <w:rPr>
          <w:sz w:val="24"/>
          <w:szCs w:val="24"/>
          <w:lang w:eastAsia="en-GB"/>
        </w:rPr>
        <w:t xml:space="preserve"> million.</w:t>
      </w:r>
    </w:p>
    <w:p w14:paraId="042BED8F" w14:textId="77777777" w:rsidR="00DF1028" w:rsidRPr="00A10A75" w:rsidRDefault="00DF1028" w:rsidP="00DF1028">
      <w:pPr>
        <w:pStyle w:val="ListParagraph"/>
        <w:rPr>
          <w:sz w:val="24"/>
          <w:szCs w:val="24"/>
          <w:lang w:eastAsia="en-GB"/>
        </w:rPr>
      </w:pPr>
    </w:p>
    <w:p w14:paraId="2445437E"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Balance Sheet (page </w:t>
      </w:r>
      <w:r w:rsidR="00C4639F">
        <w:rPr>
          <w:sz w:val="24"/>
          <w:szCs w:val="24"/>
          <w:lang w:eastAsia="en-GB"/>
        </w:rPr>
        <w:t>13</w:t>
      </w:r>
      <w:r w:rsidRPr="00A10A75">
        <w:rPr>
          <w:sz w:val="24"/>
          <w:szCs w:val="24"/>
          <w:lang w:eastAsia="en-GB"/>
        </w:rPr>
        <w:t xml:space="preserve">) – This is another core financial statement. It shows the financial position or strength of the Authority </w:t>
      </w:r>
      <w:r w:rsidRPr="00EC3617">
        <w:rPr>
          <w:sz w:val="24"/>
          <w:szCs w:val="24"/>
          <w:lang w:eastAsia="en-GB"/>
        </w:rPr>
        <w:t>at the end of the year. The overall picture of the balance sheet is strong with a positive net worth of £</w:t>
      </w:r>
      <w:r w:rsidR="00DE7233">
        <w:rPr>
          <w:sz w:val="24"/>
          <w:szCs w:val="24"/>
          <w:lang w:eastAsia="en-GB"/>
        </w:rPr>
        <w:t>77.133</w:t>
      </w:r>
      <w:r w:rsidRPr="00EC3617">
        <w:rPr>
          <w:sz w:val="24"/>
          <w:szCs w:val="24"/>
          <w:lang w:eastAsia="en-GB"/>
        </w:rPr>
        <w:t xml:space="preserve"> million. Continuing</w:t>
      </w:r>
      <w:r w:rsidRPr="00A10A75">
        <w:rPr>
          <w:sz w:val="24"/>
          <w:szCs w:val="24"/>
          <w:lang w:eastAsia="en-GB"/>
        </w:rPr>
        <w:t xml:space="preserve"> the healthy trend, this means the Authority has more assets than liabilities. </w:t>
      </w:r>
    </w:p>
    <w:p w14:paraId="103B09A0" w14:textId="77777777" w:rsidR="00DF1028" w:rsidRPr="00A10A75" w:rsidRDefault="00DF1028" w:rsidP="00DF1028">
      <w:pPr>
        <w:pStyle w:val="ListParagraph"/>
        <w:rPr>
          <w:sz w:val="24"/>
          <w:szCs w:val="24"/>
          <w:lang w:eastAsia="en-GB"/>
        </w:rPr>
      </w:pPr>
    </w:p>
    <w:p w14:paraId="43ECF23A" w14:textId="77777777" w:rsidR="00DF1028"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Notes to the Core Financial Statements (pages </w:t>
      </w:r>
      <w:r w:rsidR="00C4639F">
        <w:rPr>
          <w:sz w:val="24"/>
          <w:szCs w:val="24"/>
          <w:lang w:eastAsia="en-GB"/>
        </w:rPr>
        <w:t>16-45</w:t>
      </w:r>
      <w:r w:rsidRPr="00A10A75">
        <w:rPr>
          <w:sz w:val="24"/>
          <w:szCs w:val="24"/>
          <w:lang w:eastAsia="en-GB"/>
        </w:rPr>
        <w:t>) – these provide details, breakdown and analyses in accordance with various disclosure requirements for most of the items identified in the above 2 core statements.</w:t>
      </w:r>
    </w:p>
    <w:p w14:paraId="74157043" w14:textId="77777777" w:rsidR="00C4639F" w:rsidRPr="00C4639F" w:rsidRDefault="00C4639F" w:rsidP="00C4639F">
      <w:pPr>
        <w:pStyle w:val="ListParagraph"/>
        <w:rPr>
          <w:sz w:val="24"/>
          <w:szCs w:val="24"/>
          <w:lang w:eastAsia="en-GB"/>
        </w:rPr>
      </w:pPr>
    </w:p>
    <w:p w14:paraId="7580A855" w14:textId="77777777" w:rsidR="00C4639F" w:rsidRPr="00C4639F" w:rsidRDefault="00C4639F" w:rsidP="00C4639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Accounting Policies (page 17</w:t>
      </w:r>
      <w:r w:rsidRPr="00A10A75">
        <w:rPr>
          <w:sz w:val="24"/>
          <w:szCs w:val="24"/>
          <w:lang w:eastAsia="en-GB"/>
        </w:rPr>
        <w:t>) – This section explains the Authority’s key accounting policies. These are long standing and pretty much standard local authority accounting policies which are used in maintaining records and producing the financial statements</w:t>
      </w:r>
    </w:p>
    <w:p w14:paraId="63C6B798" w14:textId="77777777" w:rsidR="00DF1028" w:rsidRPr="00A10A75" w:rsidRDefault="00DF1028" w:rsidP="00DF1028">
      <w:pPr>
        <w:pStyle w:val="ListParagraph"/>
        <w:rPr>
          <w:sz w:val="24"/>
          <w:szCs w:val="24"/>
          <w:lang w:eastAsia="en-GB"/>
        </w:rPr>
      </w:pPr>
    </w:p>
    <w:p w14:paraId="597E1FA7"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Annual Governance Statement (p</w:t>
      </w:r>
      <w:r w:rsidR="00C4639F">
        <w:rPr>
          <w:sz w:val="24"/>
          <w:szCs w:val="24"/>
          <w:lang w:eastAsia="en-GB"/>
        </w:rPr>
        <w:t>age 46</w:t>
      </w:r>
      <w:r w:rsidRPr="00A10A75">
        <w:rPr>
          <w:sz w:val="24"/>
          <w:szCs w:val="24"/>
          <w:lang w:eastAsia="en-GB"/>
        </w:rPr>
        <w:t xml:space="preserve">) – This is a key statement within the Accounts that outlines the Authority’s view of the effectiveness of its governance and internal control framework. The statement identifies the Authority’s duties and lists the main elements of the corporate governance framework most of which are reported to Authority meetings during the year. </w:t>
      </w:r>
    </w:p>
    <w:p w14:paraId="569136EA" w14:textId="77777777" w:rsidR="00DF1028" w:rsidRPr="00A10A75" w:rsidRDefault="00DF1028" w:rsidP="00DF1028">
      <w:pPr>
        <w:pStyle w:val="ListParagraph"/>
        <w:rPr>
          <w:sz w:val="24"/>
          <w:szCs w:val="24"/>
          <w:lang w:eastAsia="en-GB"/>
        </w:rPr>
      </w:pPr>
    </w:p>
    <w:p w14:paraId="1BF48268" w14:textId="77777777"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Independent Auditors Report (page 4</w:t>
      </w:r>
      <w:r w:rsidR="00C4639F">
        <w:rPr>
          <w:sz w:val="24"/>
          <w:szCs w:val="24"/>
          <w:lang w:eastAsia="en-GB"/>
        </w:rPr>
        <w:t>9</w:t>
      </w:r>
      <w:r w:rsidRPr="00A10A75">
        <w:rPr>
          <w:sz w:val="24"/>
          <w:szCs w:val="24"/>
          <w:lang w:eastAsia="en-GB"/>
        </w:rPr>
        <w:t>) – This provides our external auditor’s opinion and confirms the accounts present a true and fair view of the Authority’s finances. The opinion will be per their report and the statement will be updated for the latest EY template once they complete their work.</w:t>
      </w:r>
    </w:p>
    <w:p w14:paraId="0E3B89A1" w14:textId="77777777" w:rsidR="00DF1028" w:rsidRDefault="00DF1028" w:rsidP="00B27C91">
      <w:pPr>
        <w:autoSpaceDE w:val="0"/>
        <w:autoSpaceDN w:val="0"/>
        <w:adjustRightInd w:val="0"/>
        <w:jc w:val="both"/>
        <w:rPr>
          <w:rFonts w:ascii="Arial" w:hAnsi="Arial" w:cs="Arial"/>
          <w:b/>
          <w:szCs w:val="24"/>
          <w:lang w:eastAsia="en-GB"/>
        </w:rPr>
      </w:pPr>
    </w:p>
    <w:p w14:paraId="1D1BA1A8" w14:textId="77777777" w:rsidR="00042D9A" w:rsidRPr="00042D9A" w:rsidRDefault="00042D9A" w:rsidP="00BC1677">
      <w:pPr>
        <w:autoSpaceDE w:val="0"/>
        <w:autoSpaceDN w:val="0"/>
        <w:adjustRightInd w:val="0"/>
        <w:spacing w:after="120"/>
        <w:jc w:val="both"/>
        <w:rPr>
          <w:rFonts w:ascii="Arial" w:hAnsi="Arial" w:cs="Arial"/>
          <w:b/>
          <w:szCs w:val="24"/>
          <w:lang w:eastAsia="en-GB"/>
        </w:rPr>
      </w:pPr>
      <w:r w:rsidRPr="004043E8">
        <w:rPr>
          <w:rFonts w:ascii="Arial" w:hAnsi="Arial" w:cs="Arial"/>
          <w:b/>
          <w:szCs w:val="24"/>
          <w:lang w:eastAsia="en-GB"/>
        </w:rPr>
        <w:t>Provisional out-turn</w:t>
      </w:r>
      <w:r w:rsidR="00C2799A" w:rsidRPr="004043E8">
        <w:rPr>
          <w:rFonts w:ascii="Arial" w:hAnsi="Arial" w:cs="Arial"/>
          <w:b/>
          <w:szCs w:val="24"/>
          <w:lang w:eastAsia="en-GB"/>
        </w:rPr>
        <w:t xml:space="preserve"> </w:t>
      </w:r>
      <w:r w:rsidR="00743EB6" w:rsidRPr="004043E8">
        <w:rPr>
          <w:rFonts w:ascii="Arial" w:hAnsi="Arial" w:cs="Arial"/>
          <w:b/>
          <w:szCs w:val="24"/>
          <w:lang w:eastAsia="en-GB"/>
        </w:rPr>
        <w:t>2022/23</w:t>
      </w:r>
    </w:p>
    <w:p w14:paraId="48157E66" w14:textId="77777777" w:rsidR="002638FA" w:rsidRPr="00B27C91" w:rsidRDefault="00552CEB" w:rsidP="00682C50">
      <w:pPr>
        <w:pStyle w:val="ListParagraph"/>
        <w:numPr>
          <w:ilvl w:val="0"/>
          <w:numId w:val="30"/>
        </w:numPr>
        <w:autoSpaceDE w:val="0"/>
        <w:autoSpaceDN w:val="0"/>
        <w:adjustRightInd w:val="0"/>
        <w:spacing w:after="120"/>
        <w:ind w:left="170"/>
        <w:jc w:val="both"/>
        <w:rPr>
          <w:szCs w:val="24"/>
          <w:lang w:eastAsia="en-GB"/>
        </w:rPr>
      </w:pPr>
      <w:r w:rsidRPr="00B27C91">
        <w:rPr>
          <w:sz w:val="24"/>
          <w:szCs w:val="24"/>
          <w:lang w:eastAsia="en-GB"/>
        </w:rPr>
        <w:t>The</w:t>
      </w:r>
      <w:r w:rsidR="002E5D16" w:rsidRPr="00B27C91">
        <w:rPr>
          <w:sz w:val="24"/>
          <w:szCs w:val="24"/>
          <w:lang w:eastAsia="en-GB"/>
        </w:rPr>
        <w:t xml:space="preserve"> </w:t>
      </w:r>
      <w:r w:rsidR="00C2799A" w:rsidRPr="00B27C91">
        <w:rPr>
          <w:sz w:val="24"/>
          <w:szCs w:val="24"/>
          <w:lang w:eastAsia="en-GB"/>
        </w:rPr>
        <w:t xml:space="preserve">financial </w:t>
      </w:r>
      <w:r w:rsidR="002E5D16" w:rsidRPr="00B27C91">
        <w:rPr>
          <w:sz w:val="24"/>
          <w:szCs w:val="24"/>
          <w:lang w:eastAsia="en-GB"/>
        </w:rPr>
        <w:t xml:space="preserve">performance during </w:t>
      </w:r>
      <w:r w:rsidR="00743EB6">
        <w:rPr>
          <w:sz w:val="24"/>
          <w:szCs w:val="24"/>
          <w:lang w:eastAsia="en-GB"/>
        </w:rPr>
        <w:t>2022/23</w:t>
      </w:r>
      <w:r w:rsidR="002E5D16" w:rsidRPr="00B27C91">
        <w:rPr>
          <w:sz w:val="24"/>
          <w:szCs w:val="24"/>
          <w:lang w:eastAsia="en-GB"/>
        </w:rPr>
        <w:t xml:space="preserve"> is provided </w:t>
      </w:r>
      <w:r w:rsidR="00C2799A" w:rsidRPr="00B27C91">
        <w:rPr>
          <w:sz w:val="24"/>
          <w:szCs w:val="24"/>
          <w:lang w:eastAsia="en-GB"/>
        </w:rPr>
        <w:t xml:space="preserve">in the table </w:t>
      </w:r>
      <w:r w:rsidR="00B27C91" w:rsidRPr="00B27C91">
        <w:rPr>
          <w:sz w:val="24"/>
          <w:szCs w:val="24"/>
          <w:lang w:eastAsia="en-GB"/>
        </w:rPr>
        <w:t xml:space="preserve">below </w:t>
      </w:r>
      <w:r w:rsidR="00275C91" w:rsidRPr="00B27C91">
        <w:rPr>
          <w:sz w:val="24"/>
          <w:szCs w:val="24"/>
          <w:lang w:eastAsia="en-GB"/>
        </w:rPr>
        <w:t xml:space="preserve">and compares the actual performance to the budgeted level in </w:t>
      </w:r>
      <w:r w:rsidR="00EC3617" w:rsidRPr="00B27C91">
        <w:rPr>
          <w:sz w:val="24"/>
          <w:szCs w:val="24"/>
          <w:lang w:eastAsia="en-GB"/>
        </w:rPr>
        <w:t xml:space="preserve">a more familiar budget monitoring </w:t>
      </w:r>
      <w:r w:rsidR="00275C91" w:rsidRPr="00B27C91">
        <w:rPr>
          <w:sz w:val="24"/>
          <w:szCs w:val="24"/>
          <w:lang w:eastAsia="en-GB"/>
        </w:rPr>
        <w:t>format</w:t>
      </w:r>
      <w:r w:rsidR="00EC3617" w:rsidRPr="00B27C91">
        <w:rPr>
          <w:sz w:val="24"/>
          <w:szCs w:val="24"/>
          <w:lang w:eastAsia="en-GB"/>
        </w:rPr>
        <w:t xml:space="preserve"> which groups spends in an operational way</w:t>
      </w:r>
      <w:r w:rsidR="00C2799A" w:rsidRPr="00B27C91">
        <w:rPr>
          <w:sz w:val="24"/>
          <w:szCs w:val="24"/>
          <w:lang w:eastAsia="en-GB"/>
        </w:rPr>
        <w:t>.</w:t>
      </w:r>
      <w:r w:rsidR="002E5D16" w:rsidRPr="00B27C91">
        <w:rPr>
          <w:sz w:val="24"/>
          <w:szCs w:val="24"/>
          <w:lang w:eastAsia="en-GB"/>
        </w:rPr>
        <w:t xml:space="preserve"> </w:t>
      </w:r>
    </w:p>
    <w:tbl>
      <w:tblPr>
        <w:tblW w:w="0" w:type="auto"/>
        <w:tblInd w:w="959" w:type="dxa"/>
        <w:tblLook w:val="04A0" w:firstRow="1" w:lastRow="0" w:firstColumn="1" w:lastColumn="0" w:noHBand="0" w:noVBand="1"/>
      </w:tblPr>
      <w:tblGrid>
        <w:gridCol w:w="4455"/>
        <w:gridCol w:w="1526"/>
        <w:gridCol w:w="1549"/>
        <w:gridCol w:w="1715"/>
      </w:tblGrid>
      <w:tr w:rsidR="002E5D16" w:rsidRPr="00323EA8" w14:paraId="0187BA4A" w14:textId="77777777" w:rsidTr="00311D8C">
        <w:tc>
          <w:tcPr>
            <w:tcW w:w="4455" w:type="dxa"/>
          </w:tcPr>
          <w:p w14:paraId="7B9EFD1F" w14:textId="5DA67DE3" w:rsidR="002E5D16" w:rsidRPr="00323EA8" w:rsidRDefault="00C6622F" w:rsidP="00782FA0">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 xml:space="preserve">Financial Performance </w:t>
            </w:r>
            <w:r w:rsidR="00F92B0E" w:rsidRPr="00323EA8">
              <w:rPr>
                <w:rFonts w:ascii="Arial" w:hAnsi="Arial" w:cs="Arial"/>
                <w:b/>
                <w:szCs w:val="24"/>
                <w:lang w:eastAsia="en-GB"/>
              </w:rPr>
              <w:t>202</w:t>
            </w:r>
            <w:r w:rsidR="00782FA0">
              <w:rPr>
                <w:rFonts w:ascii="Arial" w:hAnsi="Arial" w:cs="Arial"/>
                <w:b/>
                <w:szCs w:val="24"/>
                <w:lang w:eastAsia="en-GB"/>
              </w:rPr>
              <w:t>2</w:t>
            </w:r>
            <w:r w:rsidR="00F92B0E" w:rsidRPr="00323EA8">
              <w:rPr>
                <w:rFonts w:ascii="Arial" w:hAnsi="Arial" w:cs="Arial"/>
                <w:b/>
                <w:szCs w:val="24"/>
                <w:lang w:eastAsia="en-GB"/>
              </w:rPr>
              <w:t>/2</w:t>
            </w:r>
            <w:r w:rsidR="00782FA0">
              <w:rPr>
                <w:rFonts w:ascii="Arial" w:hAnsi="Arial" w:cs="Arial"/>
                <w:b/>
                <w:szCs w:val="24"/>
                <w:lang w:eastAsia="en-GB"/>
              </w:rPr>
              <w:t>3</w:t>
            </w:r>
          </w:p>
        </w:tc>
        <w:tc>
          <w:tcPr>
            <w:tcW w:w="1526" w:type="dxa"/>
          </w:tcPr>
          <w:p w14:paraId="1D6187F3" w14:textId="77777777" w:rsidR="002E5D16" w:rsidRPr="00323EA8" w:rsidRDefault="002E5D16" w:rsidP="000B484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Budget £000s</w:t>
            </w:r>
          </w:p>
        </w:tc>
        <w:tc>
          <w:tcPr>
            <w:tcW w:w="1549" w:type="dxa"/>
          </w:tcPr>
          <w:p w14:paraId="41A92827" w14:textId="77777777" w:rsidR="002E5D16" w:rsidRPr="00323EA8" w:rsidRDefault="002E5D16" w:rsidP="000B484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Actual   £000s</w:t>
            </w:r>
          </w:p>
        </w:tc>
        <w:tc>
          <w:tcPr>
            <w:tcW w:w="1715" w:type="dxa"/>
          </w:tcPr>
          <w:p w14:paraId="117646D3" w14:textId="77777777" w:rsidR="002E5D16" w:rsidRPr="00323EA8" w:rsidRDefault="002E5D16" w:rsidP="0060518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Variance £000s</w:t>
            </w:r>
          </w:p>
        </w:tc>
      </w:tr>
      <w:tr w:rsidR="002E5D16" w:rsidRPr="00323EA8" w14:paraId="497BF620" w14:textId="77777777" w:rsidTr="00311D8C">
        <w:tc>
          <w:tcPr>
            <w:tcW w:w="4455" w:type="dxa"/>
          </w:tcPr>
          <w:p w14:paraId="4F024DBF" w14:textId="77777777" w:rsidR="002E5D16" w:rsidRPr="00323EA8" w:rsidRDefault="002E5D16" w:rsidP="00605186">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Expenditure</w:t>
            </w:r>
          </w:p>
        </w:tc>
        <w:tc>
          <w:tcPr>
            <w:tcW w:w="1526" w:type="dxa"/>
          </w:tcPr>
          <w:p w14:paraId="266D8051"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49" w:type="dxa"/>
          </w:tcPr>
          <w:p w14:paraId="51E05FE4"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715" w:type="dxa"/>
          </w:tcPr>
          <w:p w14:paraId="27CB9E13"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14:paraId="6E01A620" w14:textId="77777777" w:rsidTr="00311D8C">
        <w:tc>
          <w:tcPr>
            <w:tcW w:w="4455" w:type="dxa"/>
          </w:tcPr>
          <w:p w14:paraId="339DFE72"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Employees</w:t>
            </w:r>
          </w:p>
        </w:tc>
        <w:tc>
          <w:tcPr>
            <w:tcW w:w="1526" w:type="dxa"/>
          </w:tcPr>
          <w:p w14:paraId="4F372691" w14:textId="77777777" w:rsidR="002E5D16" w:rsidRPr="00323EA8" w:rsidRDefault="00FA51AA" w:rsidP="000B484C">
            <w:pPr>
              <w:autoSpaceDE w:val="0"/>
              <w:autoSpaceDN w:val="0"/>
              <w:adjustRightInd w:val="0"/>
              <w:spacing w:after="120"/>
              <w:jc w:val="right"/>
              <w:rPr>
                <w:rFonts w:ascii="Arial" w:hAnsi="Arial" w:cs="Arial"/>
                <w:szCs w:val="24"/>
                <w:lang w:eastAsia="en-GB"/>
              </w:rPr>
            </w:pPr>
            <w:r>
              <w:rPr>
                <w:rFonts w:ascii="Arial" w:hAnsi="Arial" w:cs="Arial"/>
                <w:szCs w:val="24"/>
                <w:lang w:eastAsia="en-GB"/>
              </w:rPr>
              <w:t>2,648</w:t>
            </w:r>
          </w:p>
        </w:tc>
        <w:tc>
          <w:tcPr>
            <w:tcW w:w="1549" w:type="dxa"/>
          </w:tcPr>
          <w:p w14:paraId="11CF69A3" w14:textId="77777777" w:rsidR="002E5D16" w:rsidRPr="00323EA8" w:rsidRDefault="00C6631A" w:rsidP="006E6694">
            <w:pPr>
              <w:autoSpaceDE w:val="0"/>
              <w:autoSpaceDN w:val="0"/>
              <w:adjustRightInd w:val="0"/>
              <w:spacing w:after="120"/>
              <w:jc w:val="right"/>
              <w:rPr>
                <w:rFonts w:ascii="Arial" w:hAnsi="Arial" w:cs="Arial"/>
                <w:szCs w:val="24"/>
                <w:lang w:eastAsia="en-GB"/>
              </w:rPr>
            </w:pPr>
            <w:r>
              <w:rPr>
                <w:rFonts w:ascii="Arial" w:hAnsi="Arial" w:cs="Arial"/>
                <w:szCs w:val="24"/>
                <w:lang w:eastAsia="en-GB"/>
              </w:rPr>
              <w:t>2,640</w:t>
            </w:r>
          </w:p>
        </w:tc>
        <w:tc>
          <w:tcPr>
            <w:tcW w:w="1715" w:type="dxa"/>
          </w:tcPr>
          <w:p w14:paraId="5D144756" w14:textId="77777777" w:rsidR="002E5D16" w:rsidRPr="00323EA8" w:rsidRDefault="00D8611B" w:rsidP="00323EA8">
            <w:pPr>
              <w:autoSpaceDE w:val="0"/>
              <w:autoSpaceDN w:val="0"/>
              <w:adjustRightInd w:val="0"/>
              <w:spacing w:after="120"/>
              <w:jc w:val="right"/>
              <w:rPr>
                <w:rFonts w:ascii="Arial" w:hAnsi="Arial" w:cs="Arial"/>
                <w:szCs w:val="24"/>
                <w:lang w:eastAsia="en-GB"/>
              </w:rPr>
            </w:pPr>
            <w:r>
              <w:rPr>
                <w:rFonts w:ascii="Arial" w:hAnsi="Arial" w:cs="Arial"/>
                <w:szCs w:val="24"/>
                <w:lang w:eastAsia="en-GB"/>
              </w:rPr>
              <w:t>(8)</w:t>
            </w:r>
          </w:p>
        </w:tc>
      </w:tr>
      <w:tr w:rsidR="002E5D16" w:rsidRPr="00323EA8" w14:paraId="13777A36" w14:textId="77777777" w:rsidTr="00311D8C">
        <w:tc>
          <w:tcPr>
            <w:tcW w:w="4455" w:type="dxa"/>
          </w:tcPr>
          <w:p w14:paraId="504F0B71"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Premises</w:t>
            </w:r>
          </w:p>
        </w:tc>
        <w:tc>
          <w:tcPr>
            <w:tcW w:w="1526" w:type="dxa"/>
          </w:tcPr>
          <w:p w14:paraId="0376C499" w14:textId="77777777" w:rsidR="002E5D16"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2,672</w:t>
            </w:r>
          </w:p>
        </w:tc>
        <w:tc>
          <w:tcPr>
            <w:tcW w:w="1549" w:type="dxa"/>
          </w:tcPr>
          <w:p w14:paraId="7E60CD30" w14:textId="77777777" w:rsidR="002E5D16" w:rsidRPr="00323EA8" w:rsidRDefault="00C6631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2,479</w:t>
            </w:r>
          </w:p>
        </w:tc>
        <w:tc>
          <w:tcPr>
            <w:tcW w:w="1715" w:type="dxa"/>
          </w:tcPr>
          <w:p w14:paraId="62AC9FB3" w14:textId="77777777" w:rsidR="002E5D16" w:rsidRPr="00323EA8" w:rsidRDefault="00D8611B"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(193)</w:t>
            </w:r>
          </w:p>
        </w:tc>
      </w:tr>
      <w:tr w:rsidR="002E5D16" w:rsidRPr="00323EA8" w14:paraId="07199E9F" w14:textId="77777777" w:rsidTr="00311D8C">
        <w:tc>
          <w:tcPr>
            <w:tcW w:w="4455" w:type="dxa"/>
          </w:tcPr>
          <w:p w14:paraId="69981779"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Waste, Transport and Disposal</w:t>
            </w:r>
          </w:p>
        </w:tc>
        <w:tc>
          <w:tcPr>
            <w:tcW w:w="1526" w:type="dxa"/>
          </w:tcPr>
          <w:p w14:paraId="0AC95D18" w14:textId="77777777" w:rsidR="002E5D16"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49,558</w:t>
            </w:r>
          </w:p>
        </w:tc>
        <w:tc>
          <w:tcPr>
            <w:tcW w:w="1549" w:type="dxa"/>
          </w:tcPr>
          <w:p w14:paraId="6A0516EA" w14:textId="35F71139" w:rsidR="002E5D16" w:rsidRPr="00323EA8" w:rsidRDefault="00C6631A" w:rsidP="00505FE4">
            <w:pPr>
              <w:autoSpaceDE w:val="0"/>
              <w:autoSpaceDN w:val="0"/>
              <w:adjustRightInd w:val="0"/>
              <w:spacing w:after="120"/>
              <w:jc w:val="right"/>
              <w:rPr>
                <w:rFonts w:ascii="Arial" w:hAnsi="Arial" w:cs="Arial"/>
                <w:szCs w:val="24"/>
                <w:lang w:eastAsia="en-GB"/>
              </w:rPr>
            </w:pPr>
            <w:r>
              <w:rPr>
                <w:rFonts w:ascii="Arial" w:hAnsi="Arial" w:cs="Arial"/>
                <w:szCs w:val="24"/>
                <w:lang w:eastAsia="en-GB"/>
              </w:rPr>
              <w:t>45,</w:t>
            </w:r>
            <w:r w:rsidR="00505FE4">
              <w:rPr>
                <w:rFonts w:ascii="Arial" w:hAnsi="Arial" w:cs="Arial"/>
                <w:szCs w:val="24"/>
                <w:lang w:eastAsia="en-GB"/>
              </w:rPr>
              <w:t>128</w:t>
            </w:r>
          </w:p>
        </w:tc>
        <w:tc>
          <w:tcPr>
            <w:tcW w:w="1715" w:type="dxa"/>
          </w:tcPr>
          <w:p w14:paraId="604D0DDC" w14:textId="1B3A2851" w:rsidR="002E5D16" w:rsidRPr="00323EA8" w:rsidRDefault="00D8611B" w:rsidP="00505FE4">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505FE4">
              <w:rPr>
                <w:rFonts w:ascii="Arial" w:hAnsi="Arial" w:cs="Arial"/>
                <w:szCs w:val="24"/>
                <w:lang w:eastAsia="en-GB"/>
              </w:rPr>
              <w:t>4,430</w:t>
            </w:r>
            <w:r>
              <w:rPr>
                <w:rFonts w:ascii="Arial" w:hAnsi="Arial" w:cs="Arial"/>
                <w:szCs w:val="24"/>
                <w:lang w:eastAsia="en-GB"/>
              </w:rPr>
              <w:t>)</w:t>
            </w:r>
          </w:p>
        </w:tc>
      </w:tr>
      <w:tr w:rsidR="00456A0E" w:rsidRPr="00323EA8" w14:paraId="53DAB585" w14:textId="77777777" w:rsidTr="00311D8C">
        <w:tc>
          <w:tcPr>
            <w:tcW w:w="4455" w:type="dxa"/>
          </w:tcPr>
          <w:p w14:paraId="7CE6EA3D" w14:textId="77777777" w:rsidR="00456A0E" w:rsidRPr="00323EA8" w:rsidRDefault="00456A0E"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MRF Waste Transport and Disposal</w:t>
            </w:r>
          </w:p>
        </w:tc>
        <w:tc>
          <w:tcPr>
            <w:tcW w:w="1526" w:type="dxa"/>
          </w:tcPr>
          <w:p w14:paraId="41B51401" w14:textId="77777777" w:rsidR="00456A0E"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2,148</w:t>
            </w:r>
          </w:p>
        </w:tc>
        <w:tc>
          <w:tcPr>
            <w:tcW w:w="1549" w:type="dxa"/>
          </w:tcPr>
          <w:p w14:paraId="5ACD4F4A" w14:textId="77777777" w:rsidR="00456A0E" w:rsidRPr="00323EA8" w:rsidRDefault="00C6631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2,705</w:t>
            </w:r>
          </w:p>
        </w:tc>
        <w:tc>
          <w:tcPr>
            <w:tcW w:w="1715" w:type="dxa"/>
          </w:tcPr>
          <w:p w14:paraId="1167BD6D" w14:textId="77777777" w:rsidR="00456A0E" w:rsidRPr="00323EA8" w:rsidRDefault="00D8611B"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557</w:t>
            </w:r>
          </w:p>
        </w:tc>
      </w:tr>
      <w:tr w:rsidR="002E5D16" w:rsidRPr="00323EA8" w14:paraId="77E2CA4A" w14:textId="77777777" w:rsidTr="00311D8C">
        <w:tc>
          <w:tcPr>
            <w:tcW w:w="4455" w:type="dxa"/>
          </w:tcPr>
          <w:p w14:paraId="08728EA1"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Other supplies</w:t>
            </w:r>
          </w:p>
        </w:tc>
        <w:tc>
          <w:tcPr>
            <w:tcW w:w="1526" w:type="dxa"/>
          </w:tcPr>
          <w:p w14:paraId="2DD66BC4" w14:textId="77777777" w:rsidR="002E5D16"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1,198</w:t>
            </w:r>
          </w:p>
        </w:tc>
        <w:tc>
          <w:tcPr>
            <w:tcW w:w="1549" w:type="dxa"/>
          </w:tcPr>
          <w:p w14:paraId="15F0F74D" w14:textId="7ECD3635" w:rsidR="002E5D16" w:rsidRPr="00323EA8" w:rsidRDefault="00C6631A" w:rsidP="00311D8C">
            <w:pPr>
              <w:autoSpaceDE w:val="0"/>
              <w:autoSpaceDN w:val="0"/>
              <w:adjustRightInd w:val="0"/>
              <w:spacing w:after="120"/>
              <w:jc w:val="right"/>
              <w:rPr>
                <w:rFonts w:ascii="Arial" w:hAnsi="Arial" w:cs="Arial"/>
                <w:szCs w:val="24"/>
                <w:lang w:eastAsia="en-GB"/>
              </w:rPr>
            </w:pPr>
            <w:r>
              <w:rPr>
                <w:rFonts w:ascii="Arial" w:hAnsi="Arial" w:cs="Arial"/>
                <w:szCs w:val="24"/>
                <w:lang w:eastAsia="en-GB"/>
              </w:rPr>
              <w:t>1,</w:t>
            </w:r>
            <w:r w:rsidR="00311D8C">
              <w:rPr>
                <w:rFonts w:ascii="Arial" w:hAnsi="Arial" w:cs="Arial"/>
                <w:szCs w:val="24"/>
                <w:lang w:eastAsia="en-GB"/>
              </w:rPr>
              <w:t>673</w:t>
            </w:r>
          </w:p>
        </w:tc>
        <w:tc>
          <w:tcPr>
            <w:tcW w:w="1715" w:type="dxa"/>
          </w:tcPr>
          <w:p w14:paraId="584C082F" w14:textId="68649824" w:rsidR="002E5D16" w:rsidRPr="00323EA8" w:rsidRDefault="00D8611B" w:rsidP="000325A4">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311D8C">
              <w:rPr>
                <w:rFonts w:ascii="Arial" w:hAnsi="Arial" w:cs="Arial"/>
                <w:szCs w:val="24"/>
                <w:lang w:eastAsia="en-GB"/>
              </w:rPr>
              <w:t>474</w:t>
            </w:r>
            <w:r>
              <w:rPr>
                <w:rFonts w:ascii="Arial" w:hAnsi="Arial" w:cs="Arial"/>
                <w:szCs w:val="24"/>
                <w:lang w:eastAsia="en-GB"/>
              </w:rPr>
              <w:t>)</w:t>
            </w:r>
          </w:p>
        </w:tc>
      </w:tr>
      <w:tr w:rsidR="002E5D16" w:rsidRPr="00323EA8" w14:paraId="372CAC1E" w14:textId="77777777" w:rsidTr="00311D8C">
        <w:tc>
          <w:tcPr>
            <w:tcW w:w="4455" w:type="dxa"/>
          </w:tcPr>
          <w:p w14:paraId="52776335" w14:textId="77777777" w:rsidR="002E5D16" w:rsidRPr="00323EA8" w:rsidRDefault="000B484C"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lastRenderedPageBreak/>
              <w:t>Depreciation</w:t>
            </w:r>
          </w:p>
        </w:tc>
        <w:tc>
          <w:tcPr>
            <w:tcW w:w="1526" w:type="dxa"/>
          </w:tcPr>
          <w:p w14:paraId="4925B880" w14:textId="77777777" w:rsidR="002E5D16"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9,809</w:t>
            </w:r>
          </w:p>
        </w:tc>
        <w:tc>
          <w:tcPr>
            <w:tcW w:w="1549" w:type="dxa"/>
          </w:tcPr>
          <w:p w14:paraId="4723F4F2" w14:textId="77777777" w:rsidR="002E5D16" w:rsidRPr="00323EA8" w:rsidRDefault="00C6631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10,465</w:t>
            </w:r>
          </w:p>
        </w:tc>
        <w:tc>
          <w:tcPr>
            <w:tcW w:w="1715" w:type="dxa"/>
          </w:tcPr>
          <w:p w14:paraId="4978B7B6" w14:textId="77777777" w:rsidR="002E5D16" w:rsidRPr="00323EA8" w:rsidRDefault="00D8611B" w:rsidP="00323EA8">
            <w:pPr>
              <w:autoSpaceDE w:val="0"/>
              <w:autoSpaceDN w:val="0"/>
              <w:adjustRightInd w:val="0"/>
              <w:spacing w:after="120"/>
              <w:jc w:val="right"/>
              <w:rPr>
                <w:rFonts w:ascii="Arial" w:hAnsi="Arial" w:cs="Arial"/>
                <w:szCs w:val="24"/>
                <w:lang w:eastAsia="en-GB"/>
              </w:rPr>
            </w:pPr>
            <w:r>
              <w:rPr>
                <w:rFonts w:ascii="Arial" w:hAnsi="Arial" w:cs="Arial"/>
                <w:szCs w:val="24"/>
                <w:lang w:eastAsia="en-GB"/>
              </w:rPr>
              <w:t>655</w:t>
            </w:r>
          </w:p>
        </w:tc>
      </w:tr>
      <w:tr w:rsidR="002E5D16" w:rsidRPr="00323EA8" w14:paraId="7E732F64" w14:textId="77777777" w:rsidTr="00311D8C">
        <w:tc>
          <w:tcPr>
            <w:tcW w:w="4455" w:type="dxa"/>
          </w:tcPr>
          <w:p w14:paraId="47D3BD0F"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Financing</w:t>
            </w:r>
          </w:p>
        </w:tc>
        <w:tc>
          <w:tcPr>
            <w:tcW w:w="1526" w:type="dxa"/>
          </w:tcPr>
          <w:p w14:paraId="2108D134" w14:textId="77777777" w:rsidR="002E5D16"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6,067</w:t>
            </w:r>
          </w:p>
        </w:tc>
        <w:tc>
          <w:tcPr>
            <w:tcW w:w="1549" w:type="dxa"/>
          </w:tcPr>
          <w:p w14:paraId="6A4E68D1" w14:textId="4D42B87C" w:rsidR="002E5D16" w:rsidRPr="00323EA8" w:rsidRDefault="00B54383"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5,589</w:t>
            </w:r>
          </w:p>
        </w:tc>
        <w:tc>
          <w:tcPr>
            <w:tcW w:w="1715" w:type="dxa"/>
          </w:tcPr>
          <w:p w14:paraId="5D180B37" w14:textId="54FFAEED" w:rsidR="002E5D16" w:rsidRPr="00323EA8" w:rsidRDefault="000325A4">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B54383">
              <w:rPr>
                <w:rFonts w:ascii="Arial" w:hAnsi="Arial" w:cs="Arial"/>
                <w:szCs w:val="24"/>
                <w:lang w:eastAsia="en-GB"/>
              </w:rPr>
              <w:t>478</w:t>
            </w:r>
            <w:r w:rsidR="00D8611B">
              <w:rPr>
                <w:rFonts w:ascii="Arial" w:hAnsi="Arial" w:cs="Arial"/>
                <w:szCs w:val="24"/>
                <w:lang w:eastAsia="en-GB"/>
              </w:rPr>
              <w:t>)</w:t>
            </w:r>
          </w:p>
        </w:tc>
      </w:tr>
      <w:tr w:rsidR="00456A0E" w:rsidRPr="00323EA8" w14:paraId="1104B2A4" w14:textId="77777777" w:rsidTr="00311D8C">
        <w:tc>
          <w:tcPr>
            <w:tcW w:w="4455" w:type="dxa"/>
          </w:tcPr>
          <w:p w14:paraId="23EE1D8B" w14:textId="77777777" w:rsidR="00456A0E" w:rsidRPr="00323EA8" w:rsidRDefault="00456A0E"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Concession Adjustment</w:t>
            </w:r>
          </w:p>
        </w:tc>
        <w:tc>
          <w:tcPr>
            <w:tcW w:w="1526" w:type="dxa"/>
            <w:tcBorders>
              <w:bottom w:val="single" w:sz="4" w:space="0" w:color="auto"/>
            </w:tcBorders>
          </w:tcPr>
          <w:p w14:paraId="00F02E0C" w14:textId="77777777" w:rsidR="00456A0E" w:rsidRPr="00323EA8" w:rsidRDefault="00FA51A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(4,473)</w:t>
            </w:r>
          </w:p>
        </w:tc>
        <w:tc>
          <w:tcPr>
            <w:tcW w:w="1549" w:type="dxa"/>
            <w:tcBorders>
              <w:bottom w:val="single" w:sz="4" w:space="0" w:color="auto"/>
            </w:tcBorders>
          </w:tcPr>
          <w:p w14:paraId="19233FF4" w14:textId="77777777" w:rsidR="00456A0E" w:rsidRPr="00323EA8" w:rsidRDefault="00C6631A" w:rsidP="006E6694">
            <w:pPr>
              <w:autoSpaceDE w:val="0"/>
              <w:autoSpaceDN w:val="0"/>
              <w:adjustRightInd w:val="0"/>
              <w:spacing w:after="120"/>
              <w:jc w:val="right"/>
              <w:rPr>
                <w:rFonts w:ascii="Arial" w:hAnsi="Arial" w:cs="Arial"/>
                <w:szCs w:val="24"/>
                <w:lang w:eastAsia="en-GB"/>
              </w:rPr>
            </w:pPr>
            <w:r>
              <w:rPr>
                <w:rFonts w:ascii="Arial" w:hAnsi="Arial" w:cs="Arial"/>
                <w:szCs w:val="24"/>
                <w:lang w:eastAsia="en-GB"/>
              </w:rPr>
              <w:t>(4,473)</w:t>
            </w:r>
          </w:p>
        </w:tc>
        <w:tc>
          <w:tcPr>
            <w:tcW w:w="1715" w:type="dxa"/>
            <w:tcBorders>
              <w:bottom w:val="single" w:sz="4" w:space="0" w:color="auto"/>
            </w:tcBorders>
          </w:tcPr>
          <w:p w14:paraId="785932F4" w14:textId="77777777" w:rsidR="00456A0E" w:rsidRPr="00323EA8" w:rsidRDefault="00D8611B"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r>
      <w:tr w:rsidR="002E5D16" w:rsidRPr="00323EA8" w14:paraId="56E3302F" w14:textId="77777777" w:rsidTr="00311D8C">
        <w:tc>
          <w:tcPr>
            <w:tcW w:w="4455" w:type="dxa"/>
          </w:tcPr>
          <w:p w14:paraId="7C460056" w14:textId="77777777" w:rsidR="002E5D16" w:rsidRPr="00323EA8" w:rsidRDefault="002E5D16" w:rsidP="00605186">
            <w:pPr>
              <w:autoSpaceDE w:val="0"/>
              <w:autoSpaceDN w:val="0"/>
              <w:adjustRightInd w:val="0"/>
              <w:spacing w:after="120"/>
              <w:rPr>
                <w:rFonts w:ascii="Arial" w:hAnsi="Arial" w:cs="Arial"/>
                <w:b/>
                <w:szCs w:val="24"/>
                <w:lang w:eastAsia="en-GB"/>
              </w:rPr>
            </w:pPr>
          </w:p>
        </w:tc>
        <w:tc>
          <w:tcPr>
            <w:tcW w:w="1526" w:type="dxa"/>
            <w:tcBorders>
              <w:top w:val="single" w:sz="4" w:space="0" w:color="auto"/>
            </w:tcBorders>
          </w:tcPr>
          <w:p w14:paraId="2487DD61" w14:textId="77777777" w:rsidR="002E5D16" w:rsidRPr="00323EA8" w:rsidRDefault="00FA51AA" w:rsidP="00954C3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69,628</w:t>
            </w:r>
          </w:p>
        </w:tc>
        <w:tc>
          <w:tcPr>
            <w:tcW w:w="1549" w:type="dxa"/>
            <w:tcBorders>
              <w:top w:val="single" w:sz="4" w:space="0" w:color="auto"/>
            </w:tcBorders>
          </w:tcPr>
          <w:p w14:paraId="0B4488B7" w14:textId="77777777" w:rsidR="002E5D16" w:rsidRPr="00323EA8" w:rsidRDefault="00C6631A" w:rsidP="007816C6">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65,606</w:t>
            </w:r>
          </w:p>
        </w:tc>
        <w:tc>
          <w:tcPr>
            <w:tcW w:w="1715" w:type="dxa"/>
            <w:tcBorders>
              <w:top w:val="single" w:sz="4" w:space="0" w:color="auto"/>
            </w:tcBorders>
          </w:tcPr>
          <w:p w14:paraId="5F3D89FA" w14:textId="6FE6A22C" w:rsidR="002E5D16" w:rsidRPr="00323EA8" w:rsidRDefault="00D8611B" w:rsidP="00FA24DE">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w:t>
            </w:r>
            <w:r w:rsidR="00311D8C">
              <w:rPr>
                <w:rFonts w:ascii="Arial" w:hAnsi="Arial" w:cs="Arial"/>
                <w:b/>
                <w:szCs w:val="24"/>
                <w:lang w:eastAsia="en-GB"/>
              </w:rPr>
              <w:t>3,423</w:t>
            </w:r>
            <w:r>
              <w:rPr>
                <w:rFonts w:ascii="Arial" w:hAnsi="Arial" w:cs="Arial"/>
                <w:b/>
                <w:szCs w:val="24"/>
                <w:lang w:eastAsia="en-GB"/>
              </w:rPr>
              <w:t>)</w:t>
            </w:r>
          </w:p>
        </w:tc>
      </w:tr>
      <w:tr w:rsidR="002E5D16" w:rsidRPr="00323EA8" w14:paraId="50C5A357" w14:textId="77777777" w:rsidTr="00311D8C">
        <w:tc>
          <w:tcPr>
            <w:tcW w:w="4455" w:type="dxa"/>
          </w:tcPr>
          <w:p w14:paraId="64BC5848" w14:textId="77777777" w:rsidR="002E5D16" w:rsidRPr="00323EA8" w:rsidRDefault="002E5D16" w:rsidP="00605186">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Income</w:t>
            </w:r>
          </w:p>
        </w:tc>
        <w:tc>
          <w:tcPr>
            <w:tcW w:w="1526" w:type="dxa"/>
          </w:tcPr>
          <w:p w14:paraId="2893C0DD"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49" w:type="dxa"/>
          </w:tcPr>
          <w:p w14:paraId="475A97AE"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715" w:type="dxa"/>
          </w:tcPr>
          <w:p w14:paraId="7979CD4B"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14:paraId="6DAFAC53" w14:textId="77777777" w:rsidTr="00311D8C">
        <w:trPr>
          <w:trHeight w:val="441"/>
        </w:trPr>
        <w:tc>
          <w:tcPr>
            <w:tcW w:w="4455" w:type="dxa"/>
          </w:tcPr>
          <w:p w14:paraId="49182C6D" w14:textId="77777777"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Levies</w:t>
            </w:r>
          </w:p>
        </w:tc>
        <w:tc>
          <w:tcPr>
            <w:tcW w:w="1526" w:type="dxa"/>
          </w:tcPr>
          <w:p w14:paraId="3F6D3A0C" w14:textId="77777777" w:rsidR="002E5D16" w:rsidRPr="00323EA8" w:rsidRDefault="00872A60" w:rsidP="00707A47">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707A47">
              <w:rPr>
                <w:rFonts w:ascii="Arial" w:hAnsi="Arial" w:cs="Arial"/>
                <w:szCs w:val="24"/>
                <w:lang w:eastAsia="en-GB"/>
              </w:rPr>
              <w:t>64,552</w:t>
            </w:r>
            <w:r w:rsidRPr="00323EA8">
              <w:rPr>
                <w:rFonts w:ascii="Arial" w:hAnsi="Arial" w:cs="Arial"/>
                <w:szCs w:val="24"/>
                <w:lang w:eastAsia="en-GB"/>
              </w:rPr>
              <w:t>)</w:t>
            </w:r>
          </w:p>
        </w:tc>
        <w:tc>
          <w:tcPr>
            <w:tcW w:w="1549" w:type="dxa"/>
          </w:tcPr>
          <w:p w14:paraId="5C58C024" w14:textId="77777777" w:rsidR="002E5D16" w:rsidRPr="00323EA8" w:rsidRDefault="00285B4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C6631A">
              <w:rPr>
                <w:rFonts w:ascii="Arial" w:hAnsi="Arial" w:cs="Arial"/>
                <w:szCs w:val="24"/>
                <w:lang w:eastAsia="en-GB"/>
              </w:rPr>
              <w:t>62,654</w:t>
            </w:r>
            <w:r w:rsidRPr="00323EA8">
              <w:rPr>
                <w:rFonts w:ascii="Arial" w:hAnsi="Arial" w:cs="Arial"/>
                <w:szCs w:val="24"/>
                <w:lang w:eastAsia="en-GB"/>
              </w:rPr>
              <w:t>)</w:t>
            </w:r>
          </w:p>
        </w:tc>
        <w:tc>
          <w:tcPr>
            <w:tcW w:w="1715" w:type="dxa"/>
          </w:tcPr>
          <w:p w14:paraId="53D0007D" w14:textId="77777777" w:rsidR="002E5D16" w:rsidRPr="00323EA8" w:rsidRDefault="00162372"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1,8</w:t>
            </w:r>
            <w:r w:rsidR="00D8611B">
              <w:rPr>
                <w:rFonts w:ascii="Arial" w:hAnsi="Arial" w:cs="Arial"/>
                <w:szCs w:val="24"/>
                <w:lang w:eastAsia="en-GB"/>
              </w:rPr>
              <w:t>98</w:t>
            </w:r>
          </w:p>
        </w:tc>
      </w:tr>
      <w:tr w:rsidR="002E5D16" w:rsidRPr="00323EA8" w14:paraId="2DA540D8" w14:textId="77777777" w:rsidTr="00311D8C">
        <w:tc>
          <w:tcPr>
            <w:tcW w:w="4455" w:type="dxa"/>
          </w:tcPr>
          <w:p w14:paraId="0772E218" w14:textId="77777777" w:rsidR="002E5D16" w:rsidRPr="00323EA8" w:rsidRDefault="00954C3B" w:rsidP="00954C3B">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MRF Service Charge</w:t>
            </w:r>
          </w:p>
        </w:tc>
        <w:tc>
          <w:tcPr>
            <w:tcW w:w="1526" w:type="dxa"/>
          </w:tcPr>
          <w:p w14:paraId="5D586299" w14:textId="77777777" w:rsidR="002E5D16" w:rsidRPr="00323EA8" w:rsidRDefault="00954C3B" w:rsidP="00A231E0">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w:t>
            </w:r>
            <w:r w:rsidR="00A231E0">
              <w:rPr>
                <w:rFonts w:ascii="Arial" w:hAnsi="Arial" w:cs="Arial"/>
                <w:szCs w:val="24"/>
                <w:lang w:eastAsia="en-GB"/>
              </w:rPr>
              <w:t>148</w:t>
            </w:r>
            <w:r w:rsidR="00872A60" w:rsidRPr="00323EA8">
              <w:rPr>
                <w:rFonts w:ascii="Arial" w:hAnsi="Arial" w:cs="Arial"/>
                <w:szCs w:val="24"/>
                <w:lang w:eastAsia="en-GB"/>
              </w:rPr>
              <w:t>)</w:t>
            </w:r>
          </w:p>
        </w:tc>
        <w:tc>
          <w:tcPr>
            <w:tcW w:w="1549" w:type="dxa"/>
          </w:tcPr>
          <w:p w14:paraId="22CB640C" w14:textId="77777777" w:rsidR="002E5D16" w:rsidRPr="00323EA8" w:rsidRDefault="00285B4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C6631A">
              <w:rPr>
                <w:rFonts w:ascii="Arial" w:hAnsi="Arial" w:cs="Arial"/>
                <w:szCs w:val="24"/>
                <w:lang w:eastAsia="en-GB"/>
              </w:rPr>
              <w:t>2,705</w:t>
            </w:r>
            <w:r w:rsidRPr="00323EA8">
              <w:rPr>
                <w:rFonts w:ascii="Arial" w:hAnsi="Arial" w:cs="Arial"/>
                <w:szCs w:val="24"/>
                <w:lang w:eastAsia="en-GB"/>
              </w:rPr>
              <w:t>)</w:t>
            </w:r>
          </w:p>
        </w:tc>
        <w:tc>
          <w:tcPr>
            <w:tcW w:w="1715" w:type="dxa"/>
          </w:tcPr>
          <w:p w14:paraId="6FC9D961" w14:textId="77777777" w:rsidR="002E5D16" w:rsidRPr="00323EA8" w:rsidRDefault="00D8611B" w:rsidP="00D8611B">
            <w:pPr>
              <w:autoSpaceDE w:val="0"/>
              <w:autoSpaceDN w:val="0"/>
              <w:adjustRightInd w:val="0"/>
              <w:spacing w:after="120"/>
              <w:jc w:val="right"/>
              <w:rPr>
                <w:rFonts w:ascii="Arial" w:hAnsi="Arial" w:cs="Arial"/>
                <w:szCs w:val="24"/>
                <w:lang w:eastAsia="en-GB"/>
              </w:rPr>
            </w:pPr>
            <w:r>
              <w:rPr>
                <w:rFonts w:ascii="Arial" w:hAnsi="Arial" w:cs="Arial"/>
                <w:szCs w:val="24"/>
                <w:lang w:eastAsia="en-GB"/>
              </w:rPr>
              <w:t>(557)</w:t>
            </w:r>
          </w:p>
        </w:tc>
      </w:tr>
      <w:tr w:rsidR="002E5D16" w:rsidRPr="00323EA8" w14:paraId="3CD42393" w14:textId="77777777" w:rsidTr="00311D8C">
        <w:tc>
          <w:tcPr>
            <w:tcW w:w="4455" w:type="dxa"/>
          </w:tcPr>
          <w:p w14:paraId="37B579CF" w14:textId="77777777" w:rsidR="002E5D16" w:rsidRPr="00323EA8" w:rsidRDefault="00954C3B"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Trade and Other</w:t>
            </w:r>
          </w:p>
        </w:tc>
        <w:tc>
          <w:tcPr>
            <w:tcW w:w="1526" w:type="dxa"/>
          </w:tcPr>
          <w:p w14:paraId="480EBDC9" w14:textId="77777777" w:rsidR="002E5D16" w:rsidRPr="00323EA8" w:rsidRDefault="00A231E0"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(2,128</w:t>
            </w:r>
            <w:r w:rsidR="00872A60" w:rsidRPr="00323EA8">
              <w:rPr>
                <w:rFonts w:ascii="Arial" w:hAnsi="Arial" w:cs="Arial"/>
                <w:szCs w:val="24"/>
                <w:lang w:eastAsia="en-GB"/>
              </w:rPr>
              <w:t>)</w:t>
            </w:r>
          </w:p>
        </w:tc>
        <w:tc>
          <w:tcPr>
            <w:tcW w:w="1549" w:type="dxa"/>
          </w:tcPr>
          <w:p w14:paraId="78939BB6" w14:textId="77777777" w:rsidR="002E5D16" w:rsidRPr="00323EA8" w:rsidRDefault="00285B48" w:rsidP="00F92B0E">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C6631A">
              <w:rPr>
                <w:rFonts w:ascii="Arial" w:hAnsi="Arial" w:cs="Arial"/>
                <w:szCs w:val="24"/>
                <w:lang w:eastAsia="en-GB"/>
              </w:rPr>
              <w:t>3,594</w:t>
            </w:r>
            <w:r w:rsidRPr="00323EA8">
              <w:rPr>
                <w:rFonts w:ascii="Arial" w:hAnsi="Arial" w:cs="Arial"/>
                <w:szCs w:val="24"/>
                <w:lang w:eastAsia="en-GB"/>
              </w:rPr>
              <w:t>)</w:t>
            </w:r>
          </w:p>
        </w:tc>
        <w:tc>
          <w:tcPr>
            <w:tcW w:w="1715" w:type="dxa"/>
          </w:tcPr>
          <w:p w14:paraId="51C99133" w14:textId="54D724C6" w:rsidR="002E5D16" w:rsidRPr="00323EA8" w:rsidRDefault="00323EA8" w:rsidP="001C6EC5">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D8611B">
              <w:rPr>
                <w:rFonts w:ascii="Arial" w:hAnsi="Arial" w:cs="Arial"/>
                <w:szCs w:val="24"/>
                <w:lang w:eastAsia="en-GB"/>
              </w:rPr>
              <w:t>1,466)</w:t>
            </w:r>
          </w:p>
        </w:tc>
      </w:tr>
      <w:tr w:rsidR="002E5D16" w:rsidRPr="00323EA8" w14:paraId="6BF9F4C2" w14:textId="77777777" w:rsidTr="00311D8C">
        <w:tc>
          <w:tcPr>
            <w:tcW w:w="4455" w:type="dxa"/>
          </w:tcPr>
          <w:p w14:paraId="31659445" w14:textId="77777777" w:rsidR="002E5D16" w:rsidRPr="00323EA8" w:rsidRDefault="002E5D16" w:rsidP="00605186">
            <w:pPr>
              <w:autoSpaceDE w:val="0"/>
              <w:autoSpaceDN w:val="0"/>
              <w:adjustRightInd w:val="0"/>
              <w:spacing w:after="120"/>
              <w:rPr>
                <w:rFonts w:ascii="Arial" w:hAnsi="Arial" w:cs="Arial"/>
                <w:b/>
                <w:szCs w:val="24"/>
                <w:lang w:eastAsia="en-GB"/>
              </w:rPr>
            </w:pPr>
          </w:p>
        </w:tc>
        <w:tc>
          <w:tcPr>
            <w:tcW w:w="1526" w:type="dxa"/>
            <w:tcBorders>
              <w:top w:val="single" w:sz="4" w:space="0" w:color="auto"/>
            </w:tcBorders>
          </w:tcPr>
          <w:p w14:paraId="20F5FB0D" w14:textId="77777777" w:rsidR="002E5D16" w:rsidRPr="00323EA8" w:rsidRDefault="00707A47" w:rsidP="00605186">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(68,828</w:t>
            </w:r>
            <w:r w:rsidR="00872A60" w:rsidRPr="00323EA8">
              <w:rPr>
                <w:rFonts w:ascii="Arial" w:hAnsi="Arial" w:cs="Arial"/>
                <w:b/>
                <w:szCs w:val="24"/>
                <w:lang w:eastAsia="en-GB"/>
              </w:rPr>
              <w:t>)</w:t>
            </w:r>
          </w:p>
        </w:tc>
        <w:tc>
          <w:tcPr>
            <w:tcW w:w="1549" w:type="dxa"/>
            <w:tcBorders>
              <w:top w:val="single" w:sz="4" w:space="0" w:color="auto"/>
            </w:tcBorders>
          </w:tcPr>
          <w:p w14:paraId="17ACEF5A" w14:textId="77777777" w:rsidR="002E5D16" w:rsidRPr="00323EA8" w:rsidRDefault="00285B48" w:rsidP="00C6631A">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C6631A">
              <w:rPr>
                <w:rFonts w:ascii="Arial" w:hAnsi="Arial" w:cs="Arial"/>
                <w:b/>
                <w:szCs w:val="24"/>
                <w:lang w:eastAsia="en-GB"/>
              </w:rPr>
              <w:t>68,953</w:t>
            </w:r>
            <w:r w:rsidRPr="00323EA8">
              <w:rPr>
                <w:rFonts w:ascii="Arial" w:hAnsi="Arial" w:cs="Arial"/>
                <w:b/>
                <w:szCs w:val="24"/>
                <w:lang w:eastAsia="en-GB"/>
              </w:rPr>
              <w:t>)</w:t>
            </w:r>
          </w:p>
        </w:tc>
        <w:tc>
          <w:tcPr>
            <w:tcW w:w="1715" w:type="dxa"/>
            <w:tcBorders>
              <w:top w:val="single" w:sz="4" w:space="0" w:color="auto"/>
            </w:tcBorders>
          </w:tcPr>
          <w:p w14:paraId="60670A10" w14:textId="77777777" w:rsidR="002E5D16" w:rsidRPr="00323EA8" w:rsidRDefault="00323EA8" w:rsidP="00323EA8">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w:t>
            </w:r>
            <w:r w:rsidR="00D8611B">
              <w:rPr>
                <w:rFonts w:ascii="Arial" w:hAnsi="Arial" w:cs="Arial"/>
                <w:b/>
                <w:szCs w:val="24"/>
                <w:lang w:eastAsia="en-GB"/>
              </w:rPr>
              <w:t>125</w:t>
            </w:r>
            <w:r>
              <w:rPr>
                <w:rFonts w:ascii="Arial" w:hAnsi="Arial" w:cs="Arial"/>
                <w:b/>
                <w:szCs w:val="24"/>
                <w:lang w:eastAsia="en-GB"/>
              </w:rPr>
              <w:t>)</w:t>
            </w:r>
          </w:p>
        </w:tc>
      </w:tr>
      <w:tr w:rsidR="002E5D16" w:rsidRPr="00323EA8" w14:paraId="2B59DFD9" w14:textId="77777777" w:rsidTr="00311D8C">
        <w:tc>
          <w:tcPr>
            <w:tcW w:w="4455" w:type="dxa"/>
          </w:tcPr>
          <w:p w14:paraId="6F2F945C" w14:textId="77777777" w:rsidR="002E5D16" w:rsidRPr="00323EA8" w:rsidRDefault="002E5D16" w:rsidP="00605186">
            <w:pPr>
              <w:autoSpaceDE w:val="0"/>
              <w:autoSpaceDN w:val="0"/>
              <w:adjustRightInd w:val="0"/>
              <w:spacing w:after="120"/>
              <w:rPr>
                <w:rFonts w:ascii="Arial" w:hAnsi="Arial" w:cs="Arial"/>
                <w:b/>
                <w:szCs w:val="24"/>
                <w:lang w:eastAsia="en-GB"/>
              </w:rPr>
            </w:pPr>
          </w:p>
        </w:tc>
        <w:tc>
          <w:tcPr>
            <w:tcW w:w="1526" w:type="dxa"/>
            <w:tcBorders>
              <w:bottom w:val="single" w:sz="4" w:space="0" w:color="auto"/>
            </w:tcBorders>
          </w:tcPr>
          <w:p w14:paraId="0F5B7E31"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49" w:type="dxa"/>
            <w:tcBorders>
              <w:bottom w:val="single" w:sz="4" w:space="0" w:color="auto"/>
            </w:tcBorders>
          </w:tcPr>
          <w:p w14:paraId="4404DF83"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715" w:type="dxa"/>
            <w:tcBorders>
              <w:bottom w:val="single" w:sz="4" w:space="0" w:color="auto"/>
            </w:tcBorders>
          </w:tcPr>
          <w:p w14:paraId="09FF89E6" w14:textId="77777777"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14:paraId="230C989F" w14:textId="77777777" w:rsidTr="00311D8C">
        <w:tc>
          <w:tcPr>
            <w:tcW w:w="4455" w:type="dxa"/>
          </w:tcPr>
          <w:p w14:paraId="31ED5083" w14:textId="77777777" w:rsidR="002E5D16" w:rsidRPr="00323EA8" w:rsidRDefault="00323EA8" w:rsidP="00660A62">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w:t>
            </w:r>
            <w:r w:rsidR="002E5D16" w:rsidRPr="00323EA8">
              <w:rPr>
                <w:rFonts w:ascii="Arial" w:hAnsi="Arial" w:cs="Arial"/>
                <w:b/>
                <w:szCs w:val="24"/>
                <w:lang w:eastAsia="en-GB"/>
              </w:rPr>
              <w:t>Surplus</w:t>
            </w:r>
            <w:r w:rsidRPr="00323EA8">
              <w:rPr>
                <w:rFonts w:ascii="Arial" w:hAnsi="Arial" w:cs="Arial"/>
                <w:b/>
                <w:szCs w:val="24"/>
                <w:lang w:eastAsia="en-GB"/>
              </w:rPr>
              <w:t>)</w:t>
            </w:r>
            <w:r w:rsidR="002E5D16" w:rsidRPr="00323EA8">
              <w:rPr>
                <w:rFonts w:ascii="Arial" w:hAnsi="Arial" w:cs="Arial"/>
                <w:b/>
                <w:szCs w:val="24"/>
                <w:lang w:eastAsia="en-GB"/>
              </w:rPr>
              <w:t xml:space="preserve"> </w:t>
            </w:r>
            <w:r w:rsidR="00660A62" w:rsidRPr="00323EA8">
              <w:rPr>
                <w:rFonts w:ascii="Arial" w:hAnsi="Arial" w:cs="Arial"/>
                <w:b/>
                <w:szCs w:val="24"/>
                <w:lang w:eastAsia="en-GB"/>
              </w:rPr>
              <w:t>on</w:t>
            </w:r>
            <w:r w:rsidR="002E5D16" w:rsidRPr="00323EA8">
              <w:rPr>
                <w:rFonts w:ascii="Arial" w:hAnsi="Arial" w:cs="Arial"/>
                <w:b/>
                <w:szCs w:val="24"/>
                <w:lang w:eastAsia="en-GB"/>
              </w:rPr>
              <w:t xml:space="preserve"> </w:t>
            </w:r>
            <w:r w:rsidR="00660A62" w:rsidRPr="00323EA8">
              <w:rPr>
                <w:rFonts w:ascii="Arial" w:hAnsi="Arial" w:cs="Arial"/>
                <w:b/>
                <w:szCs w:val="24"/>
                <w:lang w:eastAsia="en-GB"/>
              </w:rPr>
              <w:t>provision of services</w:t>
            </w:r>
          </w:p>
        </w:tc>
        <w:tc>
          <w:tcPr>
            <w:tcW w:w="1526" w:type="dxa"/>
            <w:tcBorders>
              <w:top w:val="single" w:sz="4" w:space="0" w:color="auto"/>
            </w:tcBorders>
          </w:tcPr>
          <w:p w14:paraId="783692C5" w14:textId="77777777" w:rsidR="002E5D16" w:rsidRPr="00323EA8" w:rsidRDefault="00D61CA4" w:rsidP="00605186">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800</w:t>
            </w:r>
          </w:p>
        </w:tc>
        <w:tc>
          <w:tcPr>
            <w:tcW w:w="1549" w:type="dxa"/>
            <w:tcBorders>
              <w:top w:val="single" w:sz="4" w:space="0" w:color="auto"/>
            </w:tcBorders>
          </w:tcPr>
          <w:p w14:paraId="60A97FF5" w14:textId="77777777" w:rsidR="002E5D16" w:rsidRPr="00323EA8" w:rsidRDefault="00285B48" w:rsidP="00323EA8">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C6631A">
              <w:rPr>
                <w:rFonts w:ascii="Arial" w:hAnsi="Arial" w:cs="Arial"/>
                <w:b/>
                <w:szCs w:val="24"/>
                <w:lang w:eastAsia="en-GB"/>
              </w:rPr>
              <w:t>3,347</w:t>
            </w:r>
            <w:r w:rsidR="00323EA8">
              <w:rPr>
                <w:rFonts w:ascii="Arial" w:hAnsi="Arial" w:cs="Arial"/>
                <w:b/>
                <w:szCs w:val="24"/>
                <w:lang w:eastAsia="en-GB"/>
              </w:rPr>
              <w:t>)</w:t>
            </w:r>
          </w:p>
        </w:tc>
        <w:tc>
          <w:tcPr>
            <w:tcW w:w="1715" w:type="dxa"/>
            <w:tcBorders>
              <w:top w:val="single" w:sz="4" w:space="0" w:color="auto"/>
            </w:tcBorders>
          </w:tcPr>
          <w:p w14:paraId="619EC586" w14:textId="55697B89" w:rsidR="002E5D16" w:rsidRPr="00323EA8" w:rsidRDefault="00323EA8" w:rsidP="00FA24DE">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311D8C">
              <w:rPr>
                <w:rFonts w:ascii="Arial" w:hAnsi="Arial" w:cs="Arial"/>
                <w:b/>
                <w:szCs w:val="24"/>
                <w:lang w:eastAsia="en-GB"/>
              </w:rPr>
              <w:t>3,548)</w:t>
            </w:r>
          </w:p>
        </w:tc>
      </w:tr>
      <w:tr w:rsidR="00605186" w:rsidRPr="00323EA8" w14:paraId="2CCB3CF1" w14:textId="77777777" w:rsidTr="00311D8C">
        <w:tc>
          <w:tcPr>
            <w:tcW w:w="4455" w:type="dxa"/>
          </w:tcPr>
          <w:p w14:paraId="3547D7AA" w14:textId="77777777" w:rsidR="00605186" w:rsidRPr="00323EA8" w:rsidRDefault="00605186" w:rsidP="00660A62">
            <w:pPr>
              <w:autoSpaceDE w:val="0"/>
              <w:autoSpaceDN w:val="0"/>
              <w:adjustRightInd w:val="0"/>
              <w:spacing w:after="120"/>
              <w:rPr>
                <w:rFonts w:ascii="Arial" w:hAnsi="Arial" w:cs="Arial"/>
                <w:b/>
                <w:szCs w:val="24"/>
                <w:lang w:eastAsia="en-GB"/>
              </w:rPr>
            </w:pPr>
          </w:p>
        </w:tc>
        <w:tc>
          <w:tcPr>
            <w:tcW w:w="1526" w:type="dxa"/>
          </w:tcPr>
          <w:p w14:paraId="20296EAD" w14:textId="77777777" w:rsidR="00605186" w:rsidRPr="00323EA8" w:rsidRDefault="00605186" w:rsidP="00605186">
            <w:pPr>
              <w:autoSpaceDE w:val="0"/>
              <w:autoSpaceDN w:val="0"/>
              <w:adjustRightInd w:val="0"/>
              <w:spacing w:after="120"/>
              <w:jc w:val="right"/>
              <w:rPr>
                <w:rFonts w:ascii="Arial" w:hAnsi="Arial" w:cs="Arial"/>
                <w:b/>
                <w:szCs w:val="24"/>
                <w:lang w:eastAsia="en-GB"/>
              </w:rPr>
            </w:pPr>
          </w:p>
        </w:tc>
        <w:tc>
          <w:tcPr>
            <w:tcW w:w="1549" w:type="dxa"/>
          </w:tcPr>
          <w:p w14:paraId="7087951F" w14:textId="77777777" w:rsidR="00605186" w:rsidRPr="00323EA8" w:rsidRDefault="00605186" w:rsidP="00605186">
            <w:pPr>
              <w:autoSpaceDE w:val="0"/>
              <w:autoSpaceDN w:val="0"/>
              <w:adjustRightInd w:val="0"/>
              <w:spacing w:after="120"/>
              <w:jc w:val="right"/>
              <w:rPr>
                <w:rFonts w:ascii="Arial" w:hAnsi="Arial" w:cs="Arial"/>
                <w:b/>
                <w:szCs w:val="24"/>
                <w:lang w:eastAsia="en-GB"/>
              </w:rPr>
            </w:pPr>
          </w:p>
        </w:tc>
        <w:tc>
          <w:tcPr>
            <w:tcW w:w="1715" w:type="dxa"/>
          </w:tcPr>
          <w:p w14:paraId="1C70C1E5" w14:textId="77777777" w:rsidR="00605186" w:rsidRPr="00323EA8" w:rsidRDefault="00605186" w:rsidP="00934B70">
            <w:pPr>
              <w:autoSpaceDE w:val="0"/>
              <w:autoSpaceDN w:val="0"/>
              <w:adjustRightInd w:val="0"/>
              <w:spacing w:after="120"/>
              <w:jc w:val="right"/>
              <w:rPr>
                <w:rFonts w:ascii="Arial" w:hAnsi="Arial" w:cs="Arial"/>
                <w:b/>
                <w:szCs w:val="24"/>
                <w:lang w:eastAsia="en-GB"/>
              </w:rPr>
            </w:pPr>
          </w:p>
        </w:tc>
      </w:tr>
      <w:tr w:rsidR="00D61CA4" w:rsidRPr="00323EA8" w14:paraId="40C4D642" w14:textId="77777777" w:rsidTr="00311D8C">
        <w:tc>
          <w:tcPr>
            <w:tcW w:w="4455" w:type="dxa"/>
          </w:tcPr>
          <w:p w14:paraId="0BEDBFB9" w14:textId="77777777" w:rsidR="00D61CA4" w:rsidRPr="00B80CE0" w:rsidRDefault="00D61CA4" w:rsidP="00660A62">
            <w:pPr>
              <w:autoSpaceDE w:val="0"/>
              <w:autoSpaceDN w:val="0"/>
              <w:adjustRightInd w:val="0"/>
              <w:spacing w:after="120"/>
              <w:rPr>
                <w:rFonts w:ascii="Arial" w:hAnsi="Arial" w:cs="Arial"/>
                <w:szCs w:val="24"/>
                <w:lang w:eastAsia="en-GB"/>
              </w:rPr>
            </w:pPr>
            <w:r w:rsidRPr="00B80CE0">
              <w:rPr>
                <w:rFonts w:ascii="Arial" w:hAnsi="Arial" w:cs="Arial"/>
                <w:szCs w:val="24"/>
                <w:lang w:eastAsia="en-GB"/>
              </w:rPr>
              <w:t>HRRC Fund</w:t>
            </w:r>
          </w:p>
        </w:tc>
        <w:tc>
          <w:tcPr>
            <w:tcW w:w="1526" w:type="dxa"/>
          </w:tcPr>
          <w:p w14:paraId="3AE0CB56" w14:textId="77777777" w:rsidR="00D61CA4" w:rsidRPr="00707A47" w:rsidRDefault="00707A47" w:rsidP="00605186">
            <w:pPr>
              <w:autoSpaceDE w:val="0"/>
              <w:autoSpaceDN w:val="0"/>
              <w:adjustRightInd w:val="0"/>
              <w:spacing w:after="120"/>
              <w:jc w:val="right"/>
              <w:rPr>
                <w:rFonts w:ascii="Arial" w:hAnsi="Arial" w:cs="Arial"/>
                <w:szCs w:val="24"/>
                <w:lang w:eastAsia="en-GB"/>
              </w:rPr>
            </w:pPr>
            <w:r w:rsidRPr="00707A47">
              <w:rPr>
                <w:rFonts w:ascii="Arial" w:hAnsi="Arial" w:cs="Arial"/>
                <w:szCs w:val="24"/>
                <w:lang w:eastAsia="en-GB"/>
              </w:rPr>
              <w:t>1,200</w:t>
            </w:r>
          </w:p>
        </w:tc>
        <w:tc>
          <w:tcPr>
            <w:tcW w:w="1549" w:type="dxa"/>
          </w:tcPr>
          <w:p w14:paraId="5CE585BF" w14:textId="77777777" w:rsidR="00D61CA4" w:rsidRPr="00707A47" w:rsidRDefault="00C6631A" w:rsidP="00605186">
            <w:pPr>
              <w:autoSpaceDE w:val="0"/>
              <w:autoSpaceDN w:val="0"/>
              <w:adjustRightInd w:val="0"/>
              <w:spacing w:after="120"/>
              <w:jc w:val="right"/>
              <w:rPr>
                <w:rFonts w:ascii="Arial" w:hAnsi="Arial" w:cs="Arial"/>
                <w:szCs w:val="24"/>
                <w:lang w:eastAsia="en-GB"/>
              </w:rPr>
            </w:pPr>
            <w:r>
              <w:rPr>
                <w:rFonts w:ascii="Arial" w:hAnsi="Arial" w:cs="Arial"/>
                <w:szCs w:val="24"/>
                <w:lang w:eastAsia="en-GB"/>
              </w:rPr>
              <w:t>265</w:t>
            </w:r>
          </w:p>
        </w:tc>
        <w:tc>
          <w:tcPr>
            <w:tcW w:w="1715" w:type="dxa"/>
          </w:tcPr>
          <w:p w14:paraId="6C48D29E" w14:textId="77777777" w:rsidR="00D61CA4" w:rsidRPr="00707A47" w:rsidRDefault="00D8611B" w:rsidP="00934B70">
            <w:pPr>
              <w:autoSpaceDE w:val="0"/>
              <w:autoSpaceDN w:val="0"/>
              <w:adjustRightInd w:val="0"/>
              <w:spacing w:after="120"/>
              <w:jc w:val="right"/>
              <w:rPr>
                <w:rFonts w:ascii="Arial" w:hAnsi="Arial" w:cs="Arial"/>
                <w:szCs w:val="24"/>
                <w:lang w:eastAsia="en-GB"/>
              </w:rPr>
            </w:pPr>
            <w:r>
              <w:rPr>
                <w:rFonts w:ascii="Arial" w:hAnsi="Arial" w:cs="Arial"/>
                <w:szCs w:val="24"/>
                <w:lang w:eastAsia="en-GB"/>
              </w:rPr>
              <w:t>(935)</w:t>
            </w:r>
          </w:p>
        </w:tc>
      </w:tr>
      <w:tr w:rsidR="000B2482" w:rsidRPr="00323EA8" w14:paraId="11B5A7F3" w14:textId="77777777" w:rsidTr="00311D8C">
        <w:tc>
          <w:tcPr>
            <w:tcW w:w="4455" w:type="dxa"/>
          </w:tcPr>
          <w:p w14:paraId="5A5C7A51" w14:textId="227C9781" w:rsidR="000B2482" w:rsidRPr="00B80CE0" w:rsidRDefault="000B2482" w:rsidP="000B2482">
            <w:pPr>
              <w:autoSpaceDE w:val="0"/>
              <w:autoSpaceDN w:val="0"/>
              <w:adjustRightInd w:val="0"/>
              <w:spacing w:after="120"/>
              <w:rPr>
                <w:rFonts w:ascii="Arial" w:hAnsi="Arial" w:cs="Arial"/>
                <w:szCs w:val="24"/>
                <w:lang w:eastAsia="en-GB"/>
              </w:rPr>
            </w:pPr>
            <w:r>
              <w:rPr>
                <w:rFonts w:ascii="Arial" w:hAnsi="Arial" w:cs="Arial"/>
                <w:szCs w:val="24"/>
                <w:lang w:eastAsia="en-GB"/>
              </w:rPr>
              <w:t>PPP Contract Income</w:t>
            </w:r>
          </w:p>
        </w:tc>
        <w:tc>
          <w:tcPr>
            <w:tcW w:w="1526" w:type="dxa"/>
          </w:tcPr>
          <w:p w14:paraId="28CD5530" w14:textId="09C93065" w:rsidR="000B2482" w:rsidRPr="00707A47" w:rsidRDefault="00C47A76" w:rsidP="000B2482">
            <w:pPr>
              <w:autoSpaceDE w:val="0"/>
              <w:autoSpaceDN w:val="0"/>
              <w:adjustRightInd w:val="0"/>
              <w:spacing w:after="120"/>
              <w:jc w:val="right"/>
              <w:rPr>
                <w:rFonts w:ascii="Arial" w:hAnsi="Arial" w:cs="Arial"/>
                <w:szCs w:val="24"/>
                <w:lang w:eastAsia="en-GB"/>
              </w:rPr>
            </w:pPr>
            <w:r>
              <w:rPr>
                <w:rFonts w:ascii="Arial" w:hAnsi="Arial" w:cs="Arial"/>
                <w:szCs w:val="24"/>
                <w:lang w:eastAsia="en-GB"/>
              </w:rPr>
              <w:t>(2,000)</w:t>
            </w:r>
          </w:p>
        </w:tc>
        <w:tc>
          <w:tcPr>
            <w:tcW w:w="1549" w:type="dxa"/>
          </w:tcPr>
          <w:p w14:paraId="6849CB28" w14:textId="61D289DD" w:rsidR="000B2482" w:rsidRDefault="000B2482" w:rsidP="000B2482">
            <w:pPr>
              <w:autoSpaceDE w:val="0"/>
              <w:autoSpaceDN w:val="0"/>
              <w:adjustRightInd w:val="0"/>
              <w:spacing w:after="120"/>
              <w:jc w:val="right"/>
              <w:rPr>
                <w:rFonts w:ascii="Arial" w:hAnsi="Arial" w:cs="Arial"/>
                <w:szCs w:val="24"/>
                <w:lang w:eastAsia="en-GB"/>
              </w:rPr>
            </w:pPr>
            <w:r w:rsidRPr="000B2482">
              <w:rPr>
                <w:rFonts w:ascii="Arial" w:hAnsi="Arial" w:cs="Arial"/>
                <w:szCs w:val="24"/>
                <w:lang w:eastAsia="en-GB"/>
              </w:rPr>
              <w:t>(19,094)</w:t>
            </w:r>
          </w:p>
        </w:tc>
        <w:tc>
          <w:tcPr>
            <w:tcW w:w="1715" w:type="dxa"/>
          </w:tcPr>
          <w:p w14:paraId="7203AAA0" w14:textId="49850B72" w:rsidR="000B2482" w:rsidRPr="00707A47" w:rsidRDefault="000B2482" w:rsidP="00C47A76">
            <w:pPr>
              <w:autoSpaceDE w:val="0"/>
              <w:autoSpaceDN w:val="0"/>
              <w:adjustRightInd w:val="0"/>
              <w:spacing w:after="120"/>
              <w:jc w:val="right"/>
              <w:rPr>
                <w:rFonts w:ascii="Arial" w:hAnsi="Arial" w:cs="Arial"/>
                <w:szCs w:val="24"/>
                <w:lang w:eastAsia="en-GB"/>
              </w:rPr>
            </w:pPr>
            <w:r>
              <w:rPr>
                <w:rFonts w:ascii="Arial" w:hAnsi="Arial" w:cs="Arial"/>
                <w:szCs w:val="24"/>
                <w:lang w:eastAsia="en-GB"/>
              </w:rPr>
              <w:t>(1</w:t>
            </w:r>
            <w:r w:rsidR="00C47A76">
              <w:rPr>
                <w:rFonts w:ascii="Arial" w:hAnsi="Arial" w:cs="Arial"/>
                <w:szCs w:val="24"/>
                <w:lang w:eastAsia="en-GB"/>
              </w:rPr>
              <w:t>7</w:t>
            </w:r>
            <w:r>
              <w:rPr>
                <w:rFonts w:ascii="Arial" w:hAnsi="Arial" w:cs="Arial"/>
                <w:szCs w:val="24"/>
                <w:lang w:eastAsia="en-GB"/>
              </w:rPr>
              <w:t>,094)</w:t>
            </w:r>
          </w:p>
        </w:tc>
      </w:tr>
      <w:tr w:rsidR="00311D8C" w:rsidRPr="00323EA8" w14:paraId="29B28BCD" w14:textId="77777777" w:rsidTr="00311D8C">
        <w:tc>
          <w:tcPr>
            <w:tcW w:w="4455" w:type="dxa"/>
          </w:tcPr>
          <w:p w14:paraId="00F8D771" w14:textId="38E32717" w:rsidR="00311D8C" w:rsidRPr="00B80CE0" w:rsidRDefault="00311D8C" w:rsidP="00311D8C">
            <w:pPr>
              <w:autoSpaceDE w:val="0"/>
              <w:autoSpaceDN w:val="0"/>
              <w:adjustRightInd w:val="0"/>
              <w:spacing w:after="120"/>
              <w:rPr>
                <w:rFonts w:ascii="Arial" w:hAnsi="Arial" w:cs="Arial"/>
                <w:szCs w:val="24"/>
                <w:lang w:eastAsia="en-GB"/>
              </w:rPr>
            </w:pPr>
            <w:r w:rsidRPr="00B80CE0">
              <w:rPr>
                <w:rFonts w:ascii="Arial" w:hAnsi="Arial" w:cs="Arial"/>
                <w:szCs w:val="24"/>
                <w:lang w:eastAsia="en-GB"/>
              </w:rPr>
              <w:t xml:space="preserve">PPP Contract Income </w:t>
            </w:r>
            <w:r>
              <w:rPr>
                <w:rFonts w:ascii="Arial" w:hAnsi="Arial" w:cs="Arial"/>
                <w:szCs w:val="24"/>
                <w:lang w:eastAsia="en-GB"/>
              </w:rPr>
              <w:t>Disbursed</w:t>
            </w:r>
          </w:p>
        </w:tc>
        <w:tc>
          <w:tcPr>
            <w:tcW w:w="1526" w:type="dxa"/>
          </w:tcPr>
          <w:p w14:paraId="656DCC6F" w14:textId="1014FDD7" w:rsidR="00311D8C" w:rsidRPr="00707A47" w:rsidRDefault="00C47A76" w:rsidP="00C47A76">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49" w:type="dxa"/>
          </w:tcPr>
          <w:p w14:paraId="4048BBFB" w14:textId="47346AAD" w:rsidR="00311D8C" w:rsidRPr="000B2482" w:rsidRDefault="00311D8C" w:rsidP="00311D8C">
            <w:pPr>
              <w:autoSpaceDE w:val="0"/>
              <w:autoSpaceDN w:val="0"/>
              <w:adjustRightInd w:val="0"/>
              <w:spacing w:after="120"/>
              <w:jc w:val="right"/>
              <w:rPr>
                <w:rFonts w:ascii="Arial" w:hAnsi="Arial" w:cs="Arial"/>
                <w:szCs w:val="24"/>
                <w:lang w:eastAsia="en-GB"/>
              </w:rPr>
            </w:pPr>
            <w:r w:rsidRPr="000B2482">
              <w:rPr>
                <w:rFonts w:ascii="Arial" w:hAnsi="Arial" w:cs="Arial"/>
                <w:szCs w:val="24"/>
                <w:lang w:eastAsia="en-GB"/>
              </w:rPr>
              <w:t>12,729</w:t>
            </w:r>
          </w:p>
        </w:tc>
        <w:tc>
          <w:tcPr>
            <w:tcW w:w="1715" w:type="dxa"/>
          </w:tcPr>
          <w:p w14:paraId="41606293" w14:textId="105AEA63" w:rsidR="00311D8C" w:rsidRPr="00707A47" w:rsidRDefault="00311D8C" w:rsidP="00C47A76">
            <w:pPr>
              <w:autoSpaceDE w:val="0"/>
              <w:autoSpaceDN w:val="0"/>
              <w:adjustRightInd w:val="0"/>
              <w:spacing w:after="120"/>
              <w:jc w:val="right"/>
              <w:rPr>
                <w:rFonts w:ascii="Arial" w:hAnsi="Arial" w:cs="Arial"/>
                <w:szCs w:val="24"/>
                <w:lang w:eastAsia="en-GB"/>
              </w:rPr>
            </w:pPr>
            <w:r>
              <w:rPr>
                <w:rFonts w:ascii="Arial" w:hAnsi="Arial" w:cs="Arial"/>
                <w:szCs w:val="24"/>
                <w:lang w:eastAsia="en-GB"/>
              </w:rPr>
              <w:t>1</w:t>
            </w:r>
            <w:r w:rsidR="00C47A76">
              <w:rPr>
                <w:rFonts w:ascii="Arial" w:hAnsi="Arial" w:cs="Arial"/>
                <w:szCs w:val="24"/>
                <w:lang w:eastAsia="en-GB"/>
              </w:rPr>
              <w:t>2</w:t>
            </w:r>
            <w:r>
              <w:rPr>
                <w:rFonts w:ascii="Arial" w:hAnsi="Arial" w:cs="Arial"/>
                <w:szCs w:val="24"/>
                <w:lang w:eastAsia="en-GB"/>
              </w:rPr>
              <w:t>,729</w:t>
            </w:r>
          </w:p>
        </w:tc>
      </w:tr>
      <w:tr w:rsidR="00311D8C" w:rsidRPr="00323EA8" w14:paraId="0C8557BB" w14:textId="77777777" w:rsidTr="00311D8C">
        <w:tc>
          <w:tcPr>
            <w:tcW w:w="4455" w:type="dxa"/>
          </w:tcPr>
          <w:p w14:paraId="41AA0E9D" w14:textId="5D93032B" w:rsidR="00311D8C" w:rsidRPr="00B80CE0" w:rsidRDefault="00311D8C" w:rsidP="00311D8C">
            <w:pPr>
              <w:autoSpaceDE w:val="0"/>
              <w:autoSpaceDN w:val="0"/>
              <w:adjustRightInd w:val="0"/>
              <w:spacing w:after="120"/>
              <w:rPr>
                <w:rFonts w:ascii="Arial" w:hAnsi="Arial" w:cs="Arial"/>
                <w:szCs w:val="24"/>
                <w:lang w:eastAsia="en-GB"/>
              </w:rPr>
            </w:pPr>
            <w:r>
              <w:rPr>
                <w:rFonts w:ascii="Arial" w:hAnsi="Arial" w:cs="Arial"/>
                <w:szCs w:val="24"/>
                <w:lang w:eastAsia="en-GB"/>
              </w:rPr>
              <w:t>FY22 Excess Reserves to Boroughs</w:t>
            </w:r>
          </w:p>
        </w:tc>
        <w:tc>
          <w:tcPr>
            <w:tcW w:w="1526" w:type="dxa"/>
          </w:tcPr>
          <w:p w14:paraId="33FF8064" w14:textId="260F9B7D" w:rsidR="00311D8C" w:rsidRPr="00707A47" w:rsidRDefault="00C47A76" w:rsidP="00311D8C">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49" w:type="dxa"/>
          </w:tcPr>
          <w:p w14:paraId="6BED509F" w14:textId="6A4E845D" w:rsidR="00311D8C" w:rsidRPr="000B2482" w:rsidRDefault="00311D8C" w:rsidP="00FA24DE">
            <w:pPr>
              <w:autoSpaceDE w:val="0"/>
              <w:autoSpaceDN w:val="0"/>
              <w:adjustRightInd w:val="0"/>
              <w:spacing w:after="120"/>
              <w:jc w:val="right"/>
              <w:rPr>
                <w:rFonts w:ascii="Arial" w:hAnsi="Arial" w:cs="Arial"/>
                <w:szCs w:val="24"/>
                <w:lang w:eastAsia="en-GB"/>
              </w:rPr>
            </w:pPr>
            <w:r>
              <w:rPr>
                <w:rFonts w:ascii="Arial" w:hAnsi="Arial" w:cs="Arial"/>
                <w:szCs w:val="24"/>
                <w:lang w:eastAsia="en-GB"/>
              </w:rPr>
              <w:t>3,261</w:t>
            </w:r>
          </w:p>
        </w:tc>
        <w:tc>
          <w:tcPr>
            <w:tcW w:w="1715" w:type="dxa"/>
          </w:tcPr>
          <w:p w14:paraId="0A3ACADE" w14:textId="6138C51E" w:rsidR="00311D8C" w:rsidRPr="00707A47" w:rsidRDefault="00311D8C" w:rsidP="00FA24DE">
            <w:pPr>
              <w:autoSpaceDE w:val="0"/>
              <w:autoSpaceDN w:val="0"/>
              <w:adjustRightInd w:val="0"/>
              <w:spacing w:after="120"/>
              <w:jc w:val="right"/>
              <w:rPr>
                <w:rFonts w:ascii="Arial" w:hAnsi="Arial" w:cs="Arial"/>
                <w:szCs w:val="24"/>
                <w:lang w:eastAsia="en-GB"/>
              </w:rPr>
            </w:pPr>
            <w:r>
              <w:rPr>
                <w:rFonts w:ascii="Arial" w:hAnsi="Arial" w:cs="Arial"/>
                <w:szCs w:val="24"/>
                <w:lang w:eastAsia="en-GB"/>
              </w:rPr>
              <w:t>3,261</w:t>
            </w:r>
          </w:p>
        </w:tc>
      </w:tr>
      <w:tr w:rsidR="00311D8C" w:rsidRPr="00323EA8" w14:paraId="54C2559E" w14:textId="77777777" w:rsidTr="00311D8C">
        <w:tc>
          <w:tcPr>
            <w:tcW w:w="4455" w:type="dxa"/>
          </w:tcPr>
          <w:p w14:paraId="316720A2" w14:textId="77777777" w:rsidR="00311D8C" w:rsidRPr="00323EA8" w:rsidRDefault="00311D8C" w:rsidP="00311D8C">
            <w:pPr>
              <w:autoSpaceDE w:val="0"/>
              <w:autoSpaceDN w:val="0"/>
              <w:adjustRightInd w:val="0"/>
              <w:spacing w:after="120"/>
              <w:rPr>
                <w:rFonts w:ascii="Arial" w:hAnsi="Arial" w:cs="Arial"/>
                <w:b/>
                <w:szCs w:val="24"/>
                <w:lang w:eastAsia="en-GB"/>
              </w:rPr>
            </w:pPr>
          </w:p>
        </w:tc>
        <w:tc>
          <w:tcPr>
            <w:tcW w:w="1526" w:type="dxa"/>
            <w:tcBorders>
              <w:bottom w:val="single" w:sz="4" w:space="0" w:color="auto"/>
            </w:tcBorders>
          </w:tcPr>
          <w:p w14:paraId="5C5BBA3F"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c>
          <w:tcPr>
            <w:tcW w:w="1549" w:type="dxa"/>
            <w:tcBorders>
              <w:bottom w:val="single" w:sz="4" w:space="0" w:color="auto"/>
            </w:tcBorders>
          </w:tcPr>
          <w:p w14:paraId="4604E318"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c>
          <w:tcPr>
            <w:tcW w:w="1715" w:type="dxa"/>
            <w:tcBorders>
              <w:bottom w:val="single" w:sz="4" w:space="0" w:color="auto"/>
            </w:tcBorders>
          </w:tcPr>
          <w:p w14:paraId="4488F240"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r>
      <w:tr w:rsidR="00311D8C" w:rsidRPr="00323EA8" w14:paraId="2BA81921" w14:textId="77777777" w:rsidTr="00311D8C">
        <w:tc>
          <w:tcPr>
            <w:tcW w:w="4455" w:type="dxa"/>
          </w:tcPr>
          <w:p w14:paraId="3E5B7C78" w14:textId="77777777" w:rsidR="00311D8C" w:rsidRPr="00323EA8" w:rsidRDefault="00311D8C" w:rsidP="00311D8C">
            <w:pPr>
              <w:autoSpaceDE w:val="0"/>
              <w:autoSpaceDN w:val="0"/>
              <w:adjustRightInd w:val="0"/>
              <w:spacing w:after="120"/>
              <w:rPr>
                <w:rFonts w:ascii="Arial" w:hAnsi="Arial" w:cs="Arial"/>
                <w:b/>
                <w:szCs w:val="24"/>
                <w:lang w:eastAsia="en-GB"/>
              </w:rPr>
            </w:pPr>
            <w:r>
              <w:rPr>
                <w:rFonts w:ascii="Arial" w:hAnsi="Arial" w:cs="Arial"/>
                <w:b/>
                <w:szCs w:val="24"/>
                <w:lang w:eastAsia="en-GB"/>
              </w:rPr>
              <w:t xml:space="preserve">Net </w:t>
            </w:r>
            <w:r w:rsidRPr="00323EA8">
              <w:rPr>
                <w:rFonts w:ascii="Arial" w:hAnsi="Arial" w:cs="Arial"/>
                <w:b/>
                <w:szCs w:val="24"/>
                <w:lang w:eastAsia="en-GB"/>
              </w:rPr>
              <w:t xml:space="preserve">(Surplus) </w:t>
            </w:r>
            <w:r>
              <w:rPr>
                <w:rFonts w:ascii="Arial" w:hAnsi="Arial" w:cs="Arial"/>
                <w:b/>
                <w:szCs w:val="24"/>
                <w:lang w:eastAsia="en-GB"/>
              </w:rPr>
              <w:t xml:space="preserve">/ Deficit </w:t>
            </w:r>
          </w:p>
        </w:tc>
        <w:tc>
          <w:tcPr>
            <w:tcW w:w="1526" w:type="dxa"/>
            <w:tcBorders>
              <w:top w:val="single" w:sz="4" w:space="0" w:color="auto"/>
            </w:tcBorders>
          </w:tcPr>
          <w:p w14:paraId="56C2DAEA" w14:textId="77777777" w:rsidR="00311D8C" w:rsidRPr="00323EA8" w:rsidRDefault="00311D8C" w:rsidP="00311D8C">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0</w:t>
            </w:r>
          </w:p>
        </w:tc>
        <w:tc>
          <w:tcPr>
            <w:tcW w:w="1549" w:type="dxa"/>
            <w:tcBorders>
              <w:top w:val="single" w:sz="4" w:space="0" w:color="auto"/>
            </w:tcBorders>
          </w:tcPr>
          <w:p w14:paraId="0C551C40" w14:textId="77777777" w:rsidR="00311D8C" w:rsidRPr="00323EA8" w:rsidRDefault="00311D8C" w:rsidP="00311D8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Pr>
                <w:rFonts w:ascii="Arial" w:hAnsi="Arial" w:cs="Arial"/>
                <w:b/>
                <w:szCs w:val="24"/>
                <w:lang w:eastAsia="en-GB"/>
              </w:rPr>
              <w:t>5,587)</w:t>
            </w:r>
          </w:p>
        </w:tc>
        <w:tc>
          <w:tcPr>
            <w:tcW w:w="1715" w:type="dxa"/>
            <w:tcBorders>
              <w:top w:val="single" w:sz="4" w:space="0" w:color="auto"/>
            </w:tcBorders>
          </w:tcPr>
          <w:p w14:paraId="3829838A" w14:textId="77777777" w:rsidR="00311D8C" w:rsidRPr="00323EA8" w:rsidRDefault="00311D8C" w:rsidP="00311D8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Pr>
                <w:rFonts w:ascii="Arial" w:hAnsi="Arial" w:cs="Arial"/>
                <w:b/>
                <w:szCs w:val="24"/>
                <w:lang w:eastAsia="en-GB"/>
              </w:rPr>
              <w:t>5,587</w:t>
            </w:r>
            <w:r w:rsidRPr="00323EA8">
              <w:rPr>
                <w:rFonts w:ascii="Arial" w:hAnsi="Arial" w:cs="Arial"/>
                <w:b/>
                <w:szCs w:val="24"/>
                <w:lang w:eastAsia="en-GB"/>
              </w:rPr>
              <w:t>)</w:t>
            </w:r>
          </w:p>
        </w:tc>
      </w:tr>
      <w:tr w:rsidR="00311D8C" w:rsidRPr="00323EA8" w14:paraId="641B84B6" w14:textId="77777777" w:rsidTr="00311D8C">
        <w:tc>
          <w:tcPr>
            <w:tcW w:w="4455" w:type="dxa"/>
          </w:tcPr>
          <w:p w14:paraId="6AD8D237" w14:textId="77777777" w:rsidR="00311D8C" w:rsidRPr="00323EA8" w:rsidRDefault="00311D8C" w:rsidP="00311D8C">
            <w:pPr>
              <w:autoSpaceDE w:val="0"/>
              <w:autoSpaceDN w:val="0"/>
              <w:adjustRightInd w:val="0"/>
              <w:spacing w:after="120"/>
              <w:rPr>
                <w:rFonts w:ascii="Arial" w:hAnsi="Arial" w:cs="Arial"/>
                <w:b/>
                <w:szCs w:val="24"/>
                <w:lang w:eastAsia="en-GB"/>
              </w:rPr>
            </w:pPr>
          </w:p>
        </w:tc>
        <w:tc>
          <w:tcPr>
            <w:tcW w:w="1526" w:type="dxa"/>
          </w:tcPr>
          <w:p w14:paraId="1B056FE9"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c>
          <w:tcPr>
            <w:tcW w:w="1549" w:type="dxa"/>
          </w:tcPr>
          <w:p w14:paraId="3AA2EEB9"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c>
          <w:tcPr>
            <w:tcW w:w="1715" w:type="dxa"/>
          </w:tcPr>
          <w:p w14:paraId="17AD0813" w14:textId="77777777" w:rsidR="00311D8C" w:rsidRPr="00323EA8" w:rsidRDefault="00311D8C" w:rsidP="00311D8C">
            <w:pPr>
              <w:autoSpaceDE w:val="0"/>
              <w:autoSpaceDN w:val="0"/>
              <w:adjustRightInd w:val="0"/>
              <w:spacing w:after="120"/>
              <w:jc w:val="right"/>
              <w:rPr>
                <w:rFonts w:ascii="Arial" w:hAnsi="Arial" w:cs="Arial"/>
                <w:b/>
                <w:szCs w:val="24"/>
                <w:lang w:eastAsia="en-GB"/>
              </w:rPr>
            </w:pPr>
          </w:p>
        </w:tc>
      </w:tr>
      <w:tr w:rsidR="00311D8C" w:rsidRPr="00323EA8" w14:paraId="1640E86A" w14:textId="77777777" w:rsidTr="00311D8C">
        <w:tc>
          <w:tcPr>
            <w:tcW w:w="4455" w:type="dxa"/>
          </w:tcPr>
          <w:p w14:paraId="0EBF22B8" w14:textId="77777777" w:rsidR="00311D8C" w:rsidRPr="00323EA8" w:rsidRDefault="00311D8C" w:rsidP="00311D8C">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Actuarial gain on pension liability</w:t>
            </w:r>
          </w:p>
        </w:tc>
        <w:tc>
          <w:tcPr>
            <w:tcW w:w="1526" w:type="dxa"/>
          </w:tcPr>
          <w:p w14:paraId="55A3B633"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549" w:type="dxa"/>
          </w:tcPr>
          <w:p w14:paraId="049195B4"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715" w:type="dxa"/>
          </w:tcPr>
          <w:p w14:paraId="6028BF54"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r>
      <w:tr w:rsidR="00311D8C" w:rsidRPr="00323EA8" w14:paraId="4DAFE4F6" w14:textId="77777777" w:rsidTr="00311D8C">
        <w:tc>
          <w:tcPr>
            <w:tcW w:w="4455" w:type="dxa"/>
          </w:tcPr>
          <w:p w14:paraId="5320D764" w14:textId="77777777" w:rsidR="00311D8C" w:rsidRPr="00323EA8" w:rsidRDefault="00311D8C" w:rsidP="00311D8C">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Property valuation gains</w:t>
            </w:r>
          </w:p>
        </w:tc>
        <w:tc>
          <w:tcPr>
            <w:tcW w:w="1526" w:type="dxa"/>
          </w:tcPr>
          <w:p w14:paraId="2DF3E99A"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549" w:type="dxa"/>
          </w:tcPr>
          <w:p w14:paraId="01557D5C"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715" w:type="dxa"/>
          </w:tcPr>
          <w:p w14:paraId="47B6DFAE"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r>
      <w:tr w:rsidR="00311D8C" w:rsidRPr="00323EA8" w14:paraId="6AEB9A1F" w14:textId="77777777" w:rsidTr="00311D8C">
        <w:tc>
          <w:tcPr>
            <w:tcW w:w="4455" w:type="dxa"/>
          </w:tcPr>
          <w:p w14:paraId="6FEF92FF" w14:textId="77777777" w:rsidR="00311D8C" w:rsidRPr="00323EA8" w:rsidRDefault="00311D8C" w:rsidP="00311D8C">
            <w:pPr>
              <w:autoSpaceDE w:val="0"/>
              <w:autoSpaceDN w:val="0"/>
              <w:adjustRightInd w:val="0"/>
              <w:spacing w:after="120"/>
              <w:rPr>
                <w:rFonts w:ascii="Arial" w:hAnsi="Arial" w:cs="Arial"/>
                <w:szCs w:val="24"/>
                <w:lang w:eastAsia="en-GB"/>
              </w:rPr>
            </w:pPr>
          </w:p>
        </w:tc>
        <w:tc>
          <w:tcPr>
            <w:tcW w:w="1526" w:type="dxa"/>
            <w:tcBorders>
              <w:bottom w:val="single" w:sz="4" w:space="0" w:color="auto"/>
            </w:tcBorders>
          </w:tcPr>
          <w:p w14:paraId="54E7347A" w14:textId="77777777" w:rsidR="00311D8C" w:rsidRPr="00323EA8" w:rsidRDefault="00311D8C" w:rsidP="00311D8C">
            <w:pPr>
              <w:autoSpaceDE w:val="0"/>
              <w:autoSpaceDN w:val="0"/>
              <w:adjustRightInd w:val="0"/>
              <w:spacing w:after="120"/>
              <w:jc w:val="right"/>
              <w:rPr>
                <w:rFonts w:ascii="Arial" w:hAnsi="Arial" w:cs="Arial"/>
                <w:szCs w:val="24"/>
                <w:lang w:eastAsia="en-GB"/>
              </w:rPr>
            </w:pPr>
          </w:p>
        </w:tc>
        <w:tc>
          <w:tcPr>
            <w:tcW w:w="1549" w:type="dxa"/>
            <w:tcBorders>
              <w:bottom w:val="single" w:sz="4" w:space="0" w:color="auto"/>
            </w:tcBorders>
          </w:tcPr>
          <w:p w14:paraId="44D4FF44" w14:textId="77777777" w:rsidR="00311D8C" w:rsidRPr="00323EA8" w:rsidRDefault="00311D8C" w:rsidP="00311D8C">
            <w:pPr>
              <w:autoSpaceDE w:val="0"/>
              <w:autoSpaceDN w:val="0"/>
              <w:adjustRightInd w:val="0"/>
              <w:spacing w:after="120"/>
              <w:jc w:val="right"/>
              <w:rPr>
                <w:rFonts w:ascii="Arial" w:hAnsi="Arial" w:cs="Arial"/>
                <w:szCs w:val="24"/>
                <w:lang w:eastAsia="en-GB"/>
              </w:rPr>
            </w:pPr>
          </w:p>
        </w:tc>
        <w:tc>
          <w:tcPr>
            <w:tcW w:w="1715" w:type="dxa"/>
            <w:tcBorders>
              <w:bottom w:val="single" w:sz="4" w:space="0" w:color="auto"/>
            </w:tcBorders>
          </w:tcPr>
          <w:p w14:paraId="3A51B077" w14:textId="77777777" w:rsidR="00311D8C" w:rsidRPr="00323EA8" w:rsidRDefault="00311D8C" w:rsidP="00311D8C">
            <w:pPr>
              <w:autoSpaceDE w:val="0"/>
              <w:autoSpaceDN w:val="0"/>
              <w:adjustRightInd w:val="0"/>
              <w:spacing w:after="120"/>
              <w:jc w:val="right"/>
              <w:rPr>
                <w:rFonts w:ascii="Arial" w:hAnsi="Arial" w:cs="Arial"/>
                <w:szCs w:val="24"/>
                <w:lang w:eastAsia="en-GB"/>
              </w:rPr>
            </w:pPr>
          </w:p>
        </w:tc>
      </w:tr>
      <w:tr w:rsidR="00311D8C" w:rsidRPr="00323EA8" w14:paraId="56749ABC" w14:textId="77777777" w:rsidTr="00311D8C">
        <w:tc>
          <w:tcPr>
            <w:tcW w:w="4455" w:type="dxa"/>
          </w:tcPr>
          <w:p w14:paraId="6B848FBE" w14:textId="77777777" w:rsidR="00311D8C" w:rsidRPr="00323EA8" w:rsidRDefault="00311D8C" w:rsidP="00311D8C">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Contribution to reserves</w:t>
            </w:r>
          </w:p>
        </w:tc>
        <w:tc>
          <w:tcPr>
            <w:tcW w:w="1526" w:type="dxa"/>
            <w:tcBorders>
              <w:top w:val="single" w:sz="4" w:space="0" w:color="auto"/>
              <w:bottom w:val="single" w:sz="4" w:space="0" w:color="auto"/>
            </w:tcBorders>
          </w:tcPr>
          <w:p w14:paraId="578B6F39" w14:textId="77777777" w:rsidR="00311D8C" w:rsidRPr="00323EA8" w:rsidRDefault="00311D8C" w:rsidP="00311D8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0</w:t>
            </w:r>
          </w:p>
        </w:tc>
        <w:tc>
          <w:tcPr>
            <w:tcW w:w="1549" w:type="dxa"/>
            <w:tcBorders>
              <w:top w:val="single" w:sz="4" w:space="0" w:color="auto"/>
              <w:bottom w:val="single" w:sz="4" w:space="0" w:color="auto"/>
            </w:tcBorders>
          </w:tcPr>
          <w:p w14:paraId="1B36B9A6"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Pr>
                <w:rFonts w:ascii="Arial" w:hAnsi="Arial" w:cs="Arial"/>
                <w:szCs w:val="24"/>
                <w:lang w:eastAsia="en-GB"/>
              </w:rPr>
              <w:t>(5,587)</w:t>
            </w:r>
          </w:p>
        </w:tc>
        <w:tc>
          <w:tcPr>
            <w:tcW w:w="1715" w:type="dxa"/>
            <w:tcBorders>
              <w:top w:val="single" w:sz="4" w:space="0" w:color="auto"/>
              <w:bottom w:val="single" w:sz="4" w:space="0" w:color="auto"/>
            </w:tcBorders>
          </w:tcPr>
          <w:p w14:paraId="1D7CC3EA" w14:textId="77777777" w:rsidR="00311D8C" w:rsidRPr="00323EA8" w:rsidRDefault="00311D8C" w:rsidP="00311D8C">
            <w:pPr>
              <w:autoSpaceDE w:val="0"/>
              <w:autoSpaceDN w:val="0"/>
              <w:adjustRightInd w:val="0"/>
              <w:spacing w:after="120"/>
              <w:jc w:val="right"/>
              <w:rPr>
                <w:rFonts w:ascii="Arial" w:hAnsi="Arial" w:cs="Arial"/>
                <w:szCs w:val="24"/>
                <w:lang w:eastAsia="en-GB"/>
              </w:rPr>
            </w:pPr>
            <w:r>
              <w:rPr>
                <w:rFonts w:ascii="Arial" w:hAnsi="Arial" w:cs="Arial"/>
                <w:szCs w:val="24"/>
                <w:lang w:eastAsia="en-GB"/>
              </w:rPr>
              <w:t>(5,587)</w:t>
            </w:r>
          </w:p>
        </w:tc>
      </w:tr>
      <w:tr w:rsidR="00311D8C" w:rsidRPr="00E93B66" w14:paraId="5FCE198D" w14:textId="77777777" w:rsidTr="00311D8C">
        <w:tc>
          <w:tcPr>
            <w:tcW w:w="4455" w:type="dxa"/>
          </w:tcPr>
          <w:p w14:paraId="5260F703" w14:textId="77777777" w:rsidR="00311D8C" w:rsidRPr="00605186" w:rsidRDefault="00311D8C" w:rsidP="00311D8C">
            <w:pPr>
              <w:autoSpaceDE w:val="0"/>
              <w:autoSpaceDN w:val="0"/>
              <w:adjustRightInd w:val="0"/>
              <w:spacing w:after="120"/>
              <w:rPr>
                <w:rFonts w:ascii="Arial" w:hAnsi="Arial" w:cs="Arial"/>
                <w:b/>
                <w:szCs w:val="24"/>
                <w:lang w:eastAsia="en-GB"/>
              </w:rPr>
            </w:pPr>
          </w:p>
        </w:tc>
        <w:tc>
          <w:tcPr>
            <w:tcW w:w="1526" w:type="dxa"/>
            <w:tcBorders>
              <w:top w:val="single" w:sz="4" w:space="0" w:color="auto"/>
            </w:tcBorders>
          </w:tcPr>
          <w:p w14:paraId="6CF10A53" w14:textId="77777777" w:rsidR="00311D8C" w:rsidRPr="00142054" w:rsidRDefault="00311D8C" w:rsidP="00311D8C">
            <w:pPr>
              <w:autoSpaceDE w:val="0"/>
              <w:autoSpaceDN w:val="0"/>
              <w:adjustRightInd w:val="0"/>
              <w:spacing w:after="120"/>
              <w:jc w:val="right"/>
              <w:rPr>
                <w:rFonts w:ascii="Arial" w:hAnsi="Arial" w:cs="Arial"/>
                <w:b/>
                <w:szCs w:val="24"/>
                <w:lang w:eastAsia="en-GB"/>
              </w:rPr>
            </w:pPr>
          </w:p>
        </w:tc>
        <w:tc>
          <w:tcPr>
            <w:tcW w:w="1549" w:type="dxa"/>
            <w:tcBorders>
              <w:top w:val="single" w:sz="4" w:space="0" w:color="auto"/>
            </w:tcBorders>
          </w:tcPr>
          <w:p w14:paraId="762602FE" w14:textId="77777777" w:rsidR="00311D8C" w:rsidRPr="00605186" w:rsidRDefault="00311D8C" w:rsidP="00311D8C">
            <w:pPr>
              <w:autoSpaceDE w:val="0"/>
              <w:autoSpaceDN w:val="0"/>
              <w:adjustRightInd w:val="0"/>
              <w:spacing w:after="120"/>
              <w:jc w:val="right"/>
              <w:rPr>
                <w:rFonts w:ascii="Arial" w:hAnsi="Arial" w:cs="Arial"/>
                <w:b/>
                <w:szCs w:val="24"/>
                <w:lang w:eastAsia="en-GB"/>
              </w:rPr>
            </w:pPr>
          </w:p>
        </w:tc>
        <w:tc>
          <w:tcPr>
            <w:tcW w:w="1715" w:type="dxa"/>
            <w:tcBorders>
              <w:top w:val="single" w:sz="4" w:space="0" w:color="auto"/>
            </w:tcBorders>
          </w:tcPr>
          <w:p w14:paraId="2B4DB965" w14:textId="77777777" w:rsidR="00311D8C" w:rsidRPr="00142054" w:rsidRDefault="00311D8C" w:rsidP="00311D8C">
            <w:pPr>
              <w:autoSpaceDE w:val="0"/>
              <w:autoSpaceDN w:val="0"/>
              <w:adjustRightInd w:val="0"/>
              <w:spacing w:after="120"/>
              <w:jc w:val="right"/>
              <w:rPr>
                <w:rFonts w:ascii="Arial" w:hAnsi="Arial" w:cs="Arial"/>
                <w:b/>
                <w:szCs w:val="24"/>
                <w:lang w:eastAsia="en-GB"/>
              </w:rPr>
            </w:pPr>
          </w:p>
        </w:tc>
      </w:tr>
    </w:tbl>
    <w:p w14:paraId="00B72977" w14:textId="77777777" w:rsidR="00C2799A" w:rsidRDefault="00C2799A" w:rsidP="00C2799A">
      <w:pPr>
        <w:autoSpaceDE w:val="0"/>
        <w:autoSpaceDN w:val="0"/>
        <w:adjustRightInd w:val="0"/>
        <w:spacing w:after="120"/>
        <w:jc w:val="both"/>
        <w:rPr>
          <w:rFonts w:ascii="Arial" w:hAnsi="Arial" w:cs="Arial"/>
          <w:szCs w:val="24"/>
          <w:lang w:eastAsia="en-GB"/>
        </w:rPr>
      </w:pPr>
    </w:p>
    <w:p w14:paraId="0DBE7BA5" w14:textId="1A4CD50C" w:rsidR="002B1DA7" w:rsidRPr="00CE0EDB" w:rsidRDefault="002B1DA7" w:rsidP="00CE0EDB">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The operational performance </w:t>
      </w:r>
      <w:r w:rsidR="00275C91" w:rsidRPr="00552CEB">
        <w:rPr>
          <w:sz w:val="24"/>
          <w:szCs w:val="24"/>
          <w:lang w:eastAsia="en-GB"/>
        </w:rPr>
        <w:t xml:space="preserve">above </w:t>
      </w:r>
      <w:r w:rsidRPr="00552CEB">
        <w:rPr>
          <w:sz w:val="24"/>
          <w:szCs w:val="24"/>
          <w:lang w:eastAsia="en-GB"/>
        </w:rPr>
        <w:t>delivered a</w:t>
      </w:r>
      <w:r w:rsidR="00660A62">
        <w:rPr>
          <w:sz w:val="24"/>
          <w:szCs w:val="24"/>
          <w:lang w:eastAsia="en-GB"/>
        </w:rPr>
        <w:t xml:space="preserve"> </w:t>
      </w:r>
      <w:r w:rsidRPr="00552CEB">
        <w:rPr>
          <w:sz w:val="24"/>
          <w:szCs w:val="24"/>
          <w:lang w:eastAsia="en-GB"/>
        </w:rPr>
        <w:t>surplus of £</w:t>
      </w:r>
      <w:r w:rsidR="00924365">
        <w:rPr>
          <w:sz w:val="24"/>
          <w:szCs w:val="24"/>
          <w:lang w:eastAsia="en-GB"/>
        </w:rPr>
        <w:t>5.6</w:t>
      </w:r>
      <w:r w:rsidR="00641CC6">
        <w:rPr>
          <w:sz w:val="24"/>
          <w:szCs w:val="24"/>
          <w:lang w:eastAsia="en-GB"/>
        </w:rPr>
        <w:t xml:space="preserve"> </w:t>
      </w:r>
      <w:r w:rsidR="00660A62">
        <w:rPr>
          <w:sz w:val="24"/>
          <w:szCs w:val="24"/>
          <w:lang w:eastAsia="en-GB"/>
        </w:rPr>
        <w:t>million</w:t>
      </w:r>
      <w:r w:rsidRPr="00552CEB">
        <w:rPr>
          <w:sz w:val="24"/>
          <w:szCs w:val="24"/>
          <w:lang w:eastAsia="en-GB"/>
        </w:rPr>
        <w:t>.</w:t>
      </w:r>
      <w:r w:rsidR="00F77EEF">
        <w:rPr>
          <w:sz w:val="24"/>
          <w:szCs w:val="24"/>
          <w:lang w:eastAsia="en-GB"/>
        </w:rPr>
        <w:t xml:space="preserve"> </w:t>
      </w:r>
      <w:r w:rsidR="00CB1845">
        <w:rPr>
          <w:sz w:val="24"/>
          <w:szCs w:val="24"/>
          <w:lang w:eastAsia="en-GB"/>
        </w:rPr>
        <w:t xml:space="preserve">The </w:t>
      </w:r>
      <w:r w:rsidR="00323EA8">
        <w:rPr>
          <w:sz w:val="24"/>
          <w:szCs w:val="24"/>
          <w:lang w:eastAsia="en-GB"/>
        </w:rPr>
        <w:t>major component of this (£</w:t>
      </w:r>
      <w:r w:rsidR="00924365">
        <w:rPr>
          <w:sz w:val="24"/>
          <w:szCs w:val="24"/>
          <w:lang w:eastAsia="en-GB"/>
        </w:rPr>
        <w:t>19.1</w:t>
      </w:r>
      <w:r w:rsidR="00CE0EDB">
        <w:rPr>
          <w:sz w:val="24"/>
          <w:szCs w:val="24"/>
          <w:lang w:eastAsia="en-GB"/>
        </w:rPr>
        <w:t xml:space="preserve"> million) </w:t>
      </w:r>
      <w:r w:rsidR="00CB1845">
        <w:rPr>
          <w:sz w:val="24"/>
          <w:szCs w:val="24"/>
          <w:lang w:eastAsia="en-GB"/>
        </w:rPr>
        <w:t xml:space="preserve">relates to the Authority’s share of income generated </w:t>
      </w:r>
      <w:r w:rsidR="00CE493C">
        <w:rPr>
          <w:sz w:val="24"/>
          <w:szCs w:val="24"/>
          <w:lang w:eastAsia="en-GB"/>
        </w:rPr>
        <w:t>by the energy from waste plant (PPP income), principally electricity income.</w:t>
      </w:r>
      <w:r w:rsidR="00F77EEF" w:rsidRPr="00323EA8">
        <w:rPr>
          <w:sz w:val="24"/>
          <w:szCs w:val="24"/>
          <w:lang w:eastAsia="en-GB"/>
        </w:rPr>
        <w:t xml:space="preserve"> </w:t>
      </w:r>
      <w:r w:rsidR="008C301E">
        <w:rPr>
          <w:sz w:val="24"/>
          <w:szCs w:val="24"/>
          <w:lang w:eastAsia="en-GB"/>
        </w:rPr>
        <w:t xml:space="preserve">Two thirds of this (£12.7 million) will be passed through to boroughs in accordance with our Finance Strategy as agreed with Boroughs Directors. </w:t>
      </w:r>
      <w:r w:rsidR="00E26F17">
        <w:rPr>
          <w:sz w:val="24"/>
          <w:szCs w:val="24"/>
          <w:lang w:eastAsia="en-GB"/>
        </w:rPr>
        <w:t>The</w:t>
      </w:r>
      <w:r w:rsidR="00F46290">
        <w:rPr>
          <w:sz w:val="24"/>
          <w:szCs w:val="24"/>
          <w:lang w:eastAsia="en-GB"/>
        </w:rPr>
        <w:t xml:space="preserve"> oth</w:t>
      </w:r>
      <w:r w:rsidR="00E26F17">
        <w:rPr>
          <w:sz w:val="24"/>
          <w:szCs w:val="24"/>
          <w:lang w:eastAsia="en-GB"/>
        </w:rPr>
        <w:t>er notable operational variance</w:t>
      </w:r>
      <w:r w:rsidR="00F46290">
        <w:rPr>
          <w:sz w:val="24"/>
          <w:szCs w:val="24"/>
          <w:lang w:eastAsia="en-GB"/>
        </w:rPr>
        <w:t xml:space="preserve"> as reported in previous months relates </w:t>
      </w:r>
      <w:r w:rsidR="00F46290" w:rsidRPr="00E26F17">
        <w:rPr>
          <w:sz w:val="24"/>
          <w:szCs w:val="24"/>
          <w:lang w:eastAsia="en-GB"/>
        </w:rPr>
        <w:t xml:space="preserve">to lower volumes of waste arising during the year and </w:t>
      </w:r>
      <w:r w:rsidR="00383310">
        <w:rPr>
          <w:sz w:val="24"/>
          <w:szCs w:val="24"/>
          <w:lang w:eastAsia="en-GB"/>
        </w:rPr>
        <w:t xml:space="preserve">contributing towards </w:t>
      </w:r>
      <w:r w:rsidR="00F46290" w:rsidRPr="00E26F17">
        <w:rPr>
          <w:sz w:val="24"/>
          <w:szCs w:val="24"/>
          <w:lang w:eastAsia="en-GB"/>
        </w:rPr>
        <w:t>a significant favourable variance of £</w:t>
      </w:r>
      <w:r w:rsidR="00383310">
        <w:rPr>
          <w:sz w:val="24"/>
          <w:szCs w:val="24"/>
          <w:lang w:eastAsia="en-GB"/>
        </w:rPr>
        <w:t>4.43</w:t>
      </w:r>
      <w:r w:rsidR="00F46290" w:rsidRPr="00E26F17">
        <w:rPr>
          <w:sz w:val="24"/>
          <w:szCs w:val="24"/>
          <w:lang w:eastAsia="en-GB"/>
        </w:rPr>
        <w:t xml:space="preserve"> million</w:t>
      </w:r>
      <w:r w:rsidR="00F46290">
        <w:rPr>
          <w:sz w:val="24"/>
          <w:szCs w:val="24"/>
          <w:lang w:eastAsia="en-GB"/>
        </w:rPr>
        <w:t xml:space="preserve">. </w:t>
      </w:r>
    </w:p>
    <w:p w14:paraId="5F9A325F" w14:textId="77777777" w:rsidR="00924365" w:rsidRDefault="00924365" w:rsidP="008C3C59">
      <w:pPr>
        <w:autoSpaceDE w:val="0"/>
        <w:autoSpaceDN w:val="0"/>
        <w:adjustRightInd w:val="0"/>
        <w:spacing w:after="120"/>
        <w:jc w:val="both"/>
        <w:rPr>
          <w:rFonts w:ascii="Arial" w:hAnsi="Arial" w:cs="Arial"/>
          <w:b/>
          <w:szCs w:val="24"/>
          <w:lang w:eastAsia="en-GB"/>
        </w:rPr>
      </w:pPr>
    </w:p>
    <w:p w14:paraId="398B4C27" w14:textId="77777777" w:rsidR="008C3C59" w:rsidRPr="00042D9A" w:rsidRDefault="008C3C59" w:rsidP="008C3C59">
      <w:pPr>
        <w:autoSpaceDE w:val="0"/>
        <w:autoSpaceDN w:val="0"/>
        <w:adjustRightInd w:val="0"/>
        <w:spacing w:after="120"/>
        <w:jc w:val="both"/>
        <w:rPr>
          <w:rFonts w:ascii="Arial" w:hAnsi="Arial" w:cs="Arial"/>
          <w:b/>
          <w:szCs w:val="24"/>
          <w:lang w:eastAsia="en-GB"/>
        </w:rPr>
      </w:pPr>
      <w:r w:rsidRPr="00042D9A">
        <w:rPr>
          <w:rFonts w:ascii="Arial" w:hAnsi="Arial" w:cs="Arial"/>
          <w:b/>
          <w:szCs w:val="24"/>
          <w:lang w:eastAsia="en-GB"/>
        </w:rPr>
        <w:t>P</w:t>
      </w:r>
      <w:r>
        <w:rPr>
          <w:rFonts w:ascii="Arial" w:hAnsi="Arial" w:cs="Arial"/>
          <w:b/>
          <w:szCs w:val="24"/>
          <w:lang w:eastAsia="en-GB"/>
        </w:rPr>
        <w:t xml:space="preserve">ost </w:t>
      </w:r>
      <w:r w:rsidR="00E45574">
        <w:rPr>
          <w:rFonts w:ascii="Arial" w:hAnsi="Arial" w:cs="Arial"/>
          <w:b/>
          <w:szCs w:val="24"/>
          <w:lang w:eastAsia="en-GB"/>
        </w:rPr>
        <w:t>draft account production adjustments</w:t>
      </w:r>
    </w:p>
    <w:p w14:paraId="2FF54A09" w14:textId="77777777" w:rsidR="00E45574" w:rsidRDefault="00924365" w:rsidP="00F77EE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As mentioned previously, the pension valuations for 2022/23 have not yet been received and the figures have not been included in the statement of accounts.</w:t>
      </w:r>
    </w:p>
    <w:p w14:paraId="70261B40" w14:textId="77777777" w:rsidR="00E45574" w:rsidRPr="00E45574" w:rsidRDefault="00E45574" w:rsidP="00E45574">
      <w:pPr>
        <w:pStyle w:val="ListParagraph"/>
        <w:rPr>
          <w:sz w:val="24"/>
          <w:szCs w:val="24"/>
          <w:lang w:eastAsia="en-GB"/>
        </w:rPr>
      </w:pPr>
    </w:p>
    <w:p w14:paraId="00F05A3E" w14:textId="77777777" w:rsidR="00E45574" w:rsidRDefault="00684046" w:rsidP="00F77EE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These adjustments will be applied to the final accounts and </w:t>
      </w:r>
      <w:r w:rsidR="00E45574">
        <w:rPr>
          <w:sz w:val="24"/>
          <w:szCs w:val="24"/>
          <w:lang w:eastAsia="en-GB"/>
        </w:rPr>
        <w:t xml:space="preserve">EY will naturally audit these post draft account production changes and </w:t>
      </w:r>
      <w:r>
        <w:rPr>
          <w:sz w:val="24"/>
          <w:szCs w:val="24"/>
          <w:lang w:eastAsia="en-GB"/>
        </w:rPr>
        <w:t xml:space="preserve">refer to them </w:t>
      </w:r>
      <w:r w:rsidR="00E45574">
        <w:rPr>
          <w:sz w:val="24"/>
          <w:szCs w:val="24"/>
          <w:lang w:eastAsia="en-GB"/>
        </w:rPr>
        <w:t>in their final report.</w:t>
      </w:r>
    </w:p>
    <w:p w14:paraId="1FC2B6E5" w14:textId="77777777" w:rsidR="00E45574" w:rsidRDefault="00E45574" w:rsidP="00E45574">
      <w:pPr>
        <w:pStyle w:val="ListParagraph"/>
        <w:rPr>
          <w:sz w:val="24"/>
          <w:szCs w:val="24"/>
          <w:lang w:eastAsia="en-GB"/>
        </w:rPr>
      </w:pPr>
    </w:p>
    <w:p w14:paraId="0BEF35C7" w14:textId="77777777" w:rsidR="00556097" w:rsidRPr="00042D9A" w:rsidRDefault="00556097" w:rsidP="00556097">
      <w:pPr>
        <w:autoSpaceDE w:val="0"/>
        <w:autoSpaceDN w:val="0"/>
        <w:adjustRightInd w:val="0"/>
        <w:spacing w:after="120"/>
        <w:jc w:val="both"/>
        <w:rPr>
          <w:rFonts w:ascii="Arial" w:hAnsi="Arial" w:cs="Arial"/>
          <w:b/>
          <w:szCs w:val="24"/>
          <w:lang w:eastAsia="en-GB"/>
        </w:rPr>
      </w:pPr>
      <w:r w:rsidRPr="003B2BB2">
        <w:rPr>
          <w:rFonts w:ascii="Arial" w:hAnsi="Arial" w:cs="Arial"/>
          <w:b/>
          <w:szCs w:val="24"/>
          <w:lang w:eastAsia="en-GB"/>
        </w:rPr>
        <w:lastRenderedPageBreak/>
        <w:t>Strategic Perspective</w:t>
      </w:r>
    </w:p>
    <w:p w14:paraId="72EED650" w14:textId="77777777" w:rsidR="00552CEB" w:rsidRPr="00F77EEF" w:rsidRDefault="00F77EEF" w:rsidP="00F77EEF">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To provide context and a better strategic perspective, it helps to look at the financial performance over a period of time. Therefore, below the chart “Total WLWA cost per tonne” looks at how effectively the Authority has managed its costs. The total cost of delivering services (including disposal and treatment costs of all waste materials, overheads and financing but excluding </w:t>
      </w:r>
      <w:r w:rsidRPr="00CE493C">
        <w:rPr>
          <w:sz w:val="24"/>
          <w:szCs w:val="24"/>
          <w:lang w:eastAsia="en-GB"/>
        </w:rPr>
        <w:t>PPP income</w:t>
      </w:r>
      <w:r>
        <w:rPr>
          <w:sz w:val="24"/>
          <w:szCs w:val="24"/>
          <w:lang w:eastAsia="en-GB"/>
        </w:rPr>
        <w:t xml:space="preserve"> and </w:t>
      </w:r>
      <w:r w:rsidRPr="00A10A75">
        <w:rPr>
          <w:sz w:val="24"/>
          <w:szCs w:val="24"/>
          <w:lang w:eastAsia="en-GB"/>
        </w:rPr>
        <w:t>valuation adjustments) is divided by the total tonnes of waste (all materials) disposed by the Authority, to provide an overall cost per tonne figure. This has been plotted over a longer timeframe.</w:t>
      </w:r>
    </w:p>
    <w:p w14:paraId="4FA0BA67" w14:textId="77777777" w:rsidR="00552CEB" w:rsidRPr="00552CEB" w:rsidRDefault="00552CEB" w:rsidP="00552CEB">
      <w:pPr>
        <w:pStyle w:val="ListParagraph"/>
        <w:rPr>
          <w:sz w:val="24"/>
          <w:szCs w:val="24"/>
          <w:lang w:eastAsia="en-GB"/>
        </w:rPr>
      </w:pPr>
    </w:p>
    <w:p w14:paraId="641BE2E6" w14:textId="7CF809A9" w:rsidR="003B2BB2" w:rsidRPr="00B954FE" w:rsidRDefault="003B2BB2" w:rsidP="003B2BB2">
      <w:pPr>
        <w:pStyle w:val="ListParagraph"/>
        <w:numPr>
          <w:ilvl w:val="0"/>
          <w:numId w:val="30"/>
        </w:numPr>
        <w:autoSpaceDE w:val="0"/>
        <w:autoSpaceDN w:val="0"/>
        <w:adjustRightInd w:val="0"/>
        <w:spacing w:after="120"/>
        <w:jc w:val="both"/>
        <w:rPr>
          <w:sz w:val="24"/>
          <w:szCs w:val="24"/>
          <w:lang w:eastAsia="en-GB"/>
        </w:rPr>
      </w:pPr>
      <w:r w:rsidRPr="00B954FE">
        <w:rPr>
          <w:sz w:val="24"/>
          <w:szCs w:val="24"/>
          <w:lang w:eastAsia="en-GB"/>
        </w:rPr>
        <w:t>The key feature illustrated by this chart is that the Authority’s</w:t>
      </w:r>
      <w:r>
        <w:rPr>
          <w:sz w:val="24"/>
          <w:szCs w:val="24"/>
          <w:lang w:eastAsia="en-GB"/>
        </w:rPr>
        <w:t xml:space="preserve"> operating</w:t>
      </w:r>
      <w:r w:rsidRPr="00B954FE">
        <w:rPr>
          <w:sz w:val="24"/>
          <w:szCs w:val="24"/>
          <w:lang w:eastAsia="en-GB"/>
        </w:rPr>
        <w:t xml:space="preserve"> cost per tonne is </w:t>
      </w:r>
      <w:r>
        <w:rPr>
          <w:sz w:val="24"/>
          <w:szCs w:val="24"/>
          <w:lang w:eastAsia="en-GB"/>
        </w:rPr>
        <w:t>11.86% more</w:t>
      </w:r>
      <w:r w:rsidRPr="00B954FE">
        <w:rPr>
          <w:sz w:val="24"/>
          <w:szCs w:val="24"/>
          <w:lang w:eastAsia="en-GB"/>
        </w:rPr>
        <w:t xml:space="preserve"> than it was in 201</w:t>
      </w:r>
      <w:r>
        <w:rPr>
          <w:sz w:val="24"/>
          <w:szCs w:val="24"/>
          <w:lang w:eastAsia="en-GB"/>
        </w:rPr>
        <w:t>6/17</w:t>
      </w:r>
      <w:r w:rsidR="008C301E">
        <w:rPr>
          <w:sz w:val="24"/>
          <w:szCs w:val="24"/>
          <w:lang w:eastAsia="en-GB"/>
        </w:rPr>
        <w:t xml:space="preserve">. </w:t>
      </w:r>
      <w:r w:rsidR="008C301E" w:rsidRPr="00336381">
        <w:rPr>
          <w:sz w:val="24"/>
          <w:szCs w:val="24"/>
          <w:lang w:eastAsia="en-GB"/>
        </w:rPr>
        <w:t xml:space="preserve">Over the same period </w:t>
      </w:r>
      <w:r w:rsidR="00446881" w:rsidRPr="00336381">
        <w:rPr>
          <w:sz w:val="24"/>
          <w:szCs w:val="24"/>
          <w:lang w:eastAsia="en-GB"/>
        </w:rPr>
        <w:t xml:space="preserve">cumulative </w:t>
      </w:r>
      <w:r w:rsidR="008C301E" w:rsidRPr="00336381">
        <w:rPr>
          <w:sz w:val="24"/>
          <w:szCs w:val="24"/>
          <w:lang w:eastAsia="en-GB"/>
        </w:rPr>
        <w:t xml:space="preserve">inflation amounted to </w:t>
      </w:r>
      <w:r w:rsidR="00446881" w:rsidRPr="00FA24DE">
        <w:rPr>
          <w:sz w:val="24"/>
          <w:szCs w:val="24"/>
          <w:lang w:eastAsia="en-GB"/>
        </w:rPr>
        <w:t>39.42</w:t>
      </w:r>
      <w:r w:rsidR="008C301E" w:rsidRPr="00336381">
        <w:rPr>
          <w:sz w:val="24"/>
          <w:szCs w:val="24"/>
          <w:lang w:eastAsia="en-GB"/>
        </w:rPr>
        <w:t>%.</w:t>
      </w:r>
      <w:r w:rsidR="003F6D79">
        <w:rPr>
          <w:sz w:val="24"/>
          <w:szCs w:val="24"/>
          <w:lang w:eastAsia="en-GB"/>
        </w:rPr>
        <w:t xml:space="preserve"> </w:t>
      </w:r>
      <w:r>
        <w:rPr>
          <w:sz w:val="24"/>
          <w:szCs w:val="24"/>
          <w:lang w:eastAsia="en-GB"/>
        </w:rPr>
        <w:t xml:space="preserve">Whilst there is a small increase year on year, the chart reflects the continuous operational efficiencies the Authority makes whilst delivering on their services.    </w:t>
      </w:r>
      <w:r w:rsidRPr="00B954FE">
        <w:rPr>
          <w:sz w:val="24"/>
          <w:szCs w:val="24"/>
          <w:lang w:eastAsia="en-GB"/>
        </w:rPr>
        <w:t>It is worth noting that 2016/17 included significant one off benefits resulting from the commencement of full service at the new energy recovery centre.</w:t>
      </w:r>
    </w:p>
    <w:p w14:paraId="1CDC7776" w14:textId="77777777" w:rsidR="007C5094" w:rsidRDefault="003B2BB2" w:rsidP="00294FF3">
      <w:pPr>
        <w:autoSpaceDE w:val="0"/>
        <w:autoSpaceDN w:val="0"/>
        <w:adjustRightInd w:val="0"/>
        <w:spacing w:after="120"/>
        <w:jc w:val="center"/>
        <w:rPr>
          <w:rFonts w:ascii="Arial" w:hAnsi="Arial" w:cs="Arial"/>
          <w:szCs w:val="24"/>
          <w:lang w:eastAsia="en-GB"/>
        </w:rPr>
      </w:pPr>
      <w:r>
        <w:rPr>
          <w:rFonts w:ascii="Arial" w:hAnsi="Arial" w:cs="Arial"/>
          <w:noProof/>
          <w:szCs w:val="24"/>
          <w:lang w:eastAsia="en-GB"/>
        </w:rPr>
        <w:drawing>
          <wp:inline distT="0" distB="0" distL="0" distR="0" wp14:anchorId="7FFA5AA7" wp14:editId="4274C2FC">
            <wp:extent cx="5102860" cy="2755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2860" cy="2755900"/>
                    </a:xfrm>
                    <a:prstGeom prst="rect">
                      <a:avLst/>
                    </a:prstGeom>
                    <a:noFill/>
                  </pic:spPr>
                </pic:pic>
              </a:graphicData>
            </a:graphic>
          </wp:inline>
        </w:drawing>
      </w:r>
    </w:p>
    <w:p w14:paraId="50DF9E8B" w14:textId="77777777" w:rsidR="002B1DA7" w:rsidRPr="00552CEB" w:rsidRDefault="002B1DA7" w:rsidP="00C2799A">
      <w:pPr>
        <w:autoSpaceDE w:val="0"/>
        <w:autoSpaceDN w:val="0"/>
        <w:adjustRightInd w:val="0"/>
        <w:spacing w:after="120"/>
        <w:jc w:val="both"/>
        <w:rPr>
          <w:rFonts w:ascii="Arial" w:hAnsi="Arial" w:cs="Arial"/>
          <w:szCs w:val="24"/>
          <w:lang w:eastAsia="en-GB"/>
        </w:rPr>
      </w:pPr>
    </w:p>
    <w:p w14:paraId="2DD20893" w14:textId="77777777" w:rsidR="009F0A37" w:rsidRPr="00552CEB" w:rsidRDefault="002E4C7C" w:rsidP="00C2799A">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It is also useful to consider how the o</w:t>
      </w:r>
      <w:r w:rsidR="00660A62">
        <w:rPr>
          <w:sz w:val="24"/>
          <w:szCs w:val="24"/>
          <w:lang w:eastAsia="en-GB"/>
        </w:rPr>
        <w:t xml:space="preserve">perational </w:t>
      </w:r>
      <w:r w:rsidRPr="00552CEB">
        <w:rPr>
          <w:sz w:val="24"/>
          <w:szCs w:val="24"/>
          <w:lang w:eastAsia="en-GB"/>
        </w:rPr>
        <w:t>performance (i.e. surplus</w:t>
      </w:r>
      <w:r w:rsidR="00660A62">
        <w:rPr>
          <w:sz w:val="24"/>
          <w:szCs w:val="24"/>
          <w:lang w:eastAsia="en-GB"/>
        </w:rPr>
        <w:t xml:space="preserve"> / </w:t>
      </w:r>
      <w:r w:rsidRPr="00552CEB">
        <w:rPr>
          <w:sz w:val="24"/>
          <w:szCs w:val="24"/>
          <w:lang w:eastAsia="en-GB"/>
        </w:rPr>
        <w:t>deficit</w:t>
      </w:r>
      <w:r w:rsidR="00660A62">
        <w:rPr>
          <w:sz w:val="24"/>
          <w:szCs w:val="24"/>
          <w:lang w:eastAsia="en-GB"/>
        </w:rPr>
        <w:t xml:space="preserve"> on provision of services</w:t>
      </w:r>
      <w:r w:rsidRPr="00552CEB">
        <w:rPr>
          <w:sz w:val="24"/>
          <w:szCs w:val="24"/>
          <w:lang w:eastAsia="en-GB"/>
        </w:rPr>
        <w:t xml:space="preserve">) has moved over </w:t>
      </w:r>
      <w:r w:rsidR="00A92176">
        <w:rPr>
          <w:sz w:val="24"/>
          <w:szCs w:val="24"/>
          <w:lang w:eastAsia="en-GB"/>
        </w:rPr>
        <w:t xml:space="preserve">the same </w:t>
      </w:r>
      <w:r w:rsidRPr="00552CEB">
        <w:rPr>
          <w:sz w:val="24"/>
          <w:szCs w:val="24"/>
          <w:lang w:eastAsia="en-GB"/>
        </w:rPr>
        <w:t>period</w:t>
      </w:r>
      <w:r w:rsidR="007C5094">
        <w:rPr>
          <w:sz w:val="24"/>
          <w:szCs w:val="24"/>
          <w:lang w:eastAsia="en-GB"/>
        </w:rPr>
        <w:t xml:space="preserve"> of time</w:t>
      </w:r>
      <w:r w:rsidRPr="00552CEB">
        <w:rPr>
          <w:sz w:val="24"/>
          <w:szCs w:val="24"/>
          <w:lang w:eastAsia="en-GB"/>
        </w:rPr>
        <w:t>.</w:t>
      </w:r>
      <w:r w:rsidR="00552CEB" w:rsidRPr="00552CEB">
        <w:rPr>
          <w:sz w:val="24"/>
          <w:szCs w:val="24"/>
          <w:lang w:eastAsia="en-GB"/>
        </w:rPr>
        <w:t xml:space="preserve"> </w:t>
      </w:r>
      <w:r w:rsidR="00660A62">
        <w:rPr>
          <w:sz w:val="24"/>
          <w:szCs w:val="24"/>
          <w:lang w:eastAsia="en-GB"/>
        </w:rPr>
        <w:t xml:space="preserve">This is </w:t>
      </w:r>
      <w:r w:rsidR="00275C91" w:rsidRPr="00552CEB">
        <w:rPr>
          <w:sz w:val="24"/>
          <w:szCs w:val="24"/>
          <w:lang w:eastAsia="en-GB"/>
        </w:rPr>
        <w:t>illustrate</w:t>
      </w:r>
      <w:r w:rsidR="00660A62">
        <w:rPr>
          <w:sz w:val="24"/>
          <w:szCs w:val="24"/>
          <w:lang w:eastAsia="en-GB"/>
        </w:rPr>
        <w:t xml:space="preserve">d in the chart below which </w:t>
      </w:r>
      <w:r w:rsidR="00275C91" w:rsidRPr="00552CEB">
        <w:rPr>
          <w:sz w:val="24"/>
          <w:szCs w:val="24"/>
          <w:lang w:eastAsia="en-GB"/>
        </w:rPr>
        <w:t>shows that</w:t>
      </w:r>
      <w:r w:rsidR="005F7167" w:rsidRPr="00552CEB">
        <w:rPr>
          <w:sz w:val="24"/>
          <w:szCs w:val="24"/>
          <w:lang w:eastAsia="en-GB"/>
        </w:rPr>
        <w:t xml:space="preserve"> </w:t>
      </w:r>
      <w:r w:rsidR="009F0A37" w:rsidRPr="00552CEB">
        <w:rPr>
          <w:sz w:val="24"/>
          <w:szCs w:val="24"/>
          <w:lang w:eastAsia="en-GB"/>
        </w:rPr>
        <w:t xml:space="preserve">the Authority </w:t>
      </w:r>
      <w:r w:rsidR="00AC5474">
        <w:rPr>
          <w:sz w:val="24"/>
          <w:szCs w:val="24"/>
          <w:lang w:eastAsia="en-GB"/>
        </w:rPr>
        <w:t>has e</w:t>
      </w:r>
      <w:r w:rsidR="009F0A37" w:rsidRPr="00552CEB">
        <w:rPr>
          <w:sz w:val="24"/>
          <w:szCs w:val="24"/>
          <w:lang w:eastAsia="en-GB"/>
        </w:rPr>
        <w:t>nsure</w:t>
      </w:r>
      <w:r w:rsidR="00AC5474">
        <w:rPr>
          <w:sz w:val="24"/>
          <w:szCs w:val="24"/>
          <w:lang w:eastAsia="en-GB"/>
        </w:rPr>
        <w:t>d</w:t>
      </w:r>
      <w:r w:rsidR="009F0A37" w:rsidRPr="00552CEB">
        <w:rPr>
          <w:sz w:val="24"/>
          <w:szCs w:val="24"/>
          <w:lang w:eastAsia="en-GB"/>
        </w:rPr>
        <w:t xml:space="preserve"> that sufficient funds are being generated from day to day activities to meet day to day obligations. </w:t>
      </w:r>
    </w:p>
    <w:p w14:paraId="6D9FAD37" w14:textId="672B49F8" w:rsidR="00DA6DB3" w:rsidRDefault="004221F8" w:rsidP="00A92176">
      <w:pPr>
        <w:autoSpaceDE w:val="0"/>
        <w:autoSpaceDN w:val="0"/>
        <w:adjustRightInd w:val="0"/>
        <w:spacing w:after="120"/>
        <w:jc w:val="center"/>
        <w:rPr>
          <w:rFonts w:ascii="Arial" w:hAnsi="Arial" w:cs="Arial"/>
          <w:szCs w:val="24"/>
          <w:lang w:eastAsia="en-GB"/>
        </w:rPr>
      </w:pPr>
      <w:r>
        <w:rPr>
          <w:rFonts w:ascii="Arial" w:hAnsi="Arial" w:cs="Arial"/>
          <w:noProof/>
          <w:szCs w:val="24"/>
          <w:lang w:eastAsia="en-GB"/>
        </w:rPr>
        <w:lastRenderedPageBreak/>
        <w:drawing>
          <wp:inline distT="0" distB="0" distL="0" distR="0" wp14:anchorId="36E4031F" wp14:editId="1A6AE719">
            <wp:extent cx="5919470" cy="2926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9470" cy="2926080"/>
                    </a:xfrm>
                    <a:prstGeom prst="rect">
                      <a:avLst/>
                    </a:prstGeom>
                    <a:noFill/>
                  </pic:spPr>
                </pic:pic>
              </a:graphicData>
            </a:graphic>
          </wp:inline>
        </w:drawing>
      </w:r>
    </w:p>
    <w:p w14:paraId="21C51191" w14:textId="77777777" w:rsidR="00552CEB" w:rsidRDefault="00552CEB" w:rsidP="00C2799A">
      <w:pPr>
        <w:autoSpaceDE w:val="0"/>
        <w:autoSpaceDN w:val="0"/>
        <w:adjustRightInd w:val="0"/>
        <w:spacing w:after="120"/>
        <w:jc w:val="both"/>
        <w:rPr>
          <w:rFonts w:ascii="Arial" w:hAnsi="Arial" w:cs="Arial"/>
          <w:szCs w:val="24"/>
          <w:lang w:eastAsia="en-GB"/>
        </w:rPr>
      </w:pPr>
    </w:p>
    <w:p w14:paraId="203FA173" w14:textId="77777777" w:rsidR="00A92176" w:rsidRDefault="00A92176"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Both of the charts above show that from </w:t>
      </w:r>
      <w:r w:rsidR="00F77A10" w:rsidRPr="00552CEB">
        <w:rPr>
          <w:sz w:val="24"/>
          <w:szCs w:val="24"/>
          <w:lang w:eastAsia="en-GB"/>
        </w:rPr>
        <w:t xml:space="preserve">strategic </w:t>
      </w:r>
      <w:r>
        <w:rPr>
          <w:sz w:val="24"/>
          <w:szCs w:val="24"/>
          <w:lang w:eastAsia="en-GB"/>
        </w:rPr>
        <w:t xml:space="preserve">longer term </w:t>
      </w:r>
      <w:r w:rsidR="00F77A10" w:rsidRPr="00552CEB">
        <w:rPr>
          <w:sz w:val="24"/>
          <w:szCs w:val="24"/>
          <w:lang w:eastAsia="en-GB"/>
        </w:rPr>
        <w:t xml:space="preserve">perspective and also from </w:t>
      </w:r>
      <w:r>
        <w:rPr>
          <w:sz w:val="24"/>
          <w:szCs w:val="24"/>
          <w:lang w:eastAsia="en-GB"/>
        </w:rPr>
        <w:t xml:space="preserve">the </w:t>
      </w:r>
      <w:r w:rsidR="00F77A10" w:rsidRPr="00552CEB">
        <w:rPr>
          <w:sz w:val="24"/>
          <w:szCs w:val="24"/>
          <w:lang w:eastAsia="en-GB"/>
        </w:rPr>
        <w:t xml:space="preserve">individual year’s </w:t>
      </w:r>
      <w:r>
        <w:rPr>
          <w:sz w:val="24"/>
          <w:szCs w:val="24"/>
          <w:lang w:eastAsia="en-GB"/>
        </w:rPr>
        <w:t>results</w:t>
      </w:r>
      <w:r w:rsidR="00F77A10" w:rsidRPr="00552CEB">
        <w:rPr>
          <w:sz w:val="24"/>
          <w:szCs w:val="24"/>
          <w:lang w:eastAsia="en-GB"/>
        </w:rPr>
        <w:t xml:space="preserve">, the financial performance has been good. </w:t>
      </w:r>
    </w:p>
    <w:p w14:paraId="44216DFA" w14:textId="77777777" w:rsidR="00A92176" w:rsidRDefault="00A92176" w:rsidP="00A92176">
      <w:pPr>
        <w:pStyle w:val="ListParagraph"/>
        <w:autoSpaceDE w:val="0"/>
        <w:autoSpaceDN w:val="0"/>
        <w:adjustRightInd w:val="0"/>
        <w:spacing w:after="120"/>
        <w:ind w:left="360"/>
        <w:jc w:val="both"/>
        <w:rPr>
          <w:sz w:val="24"/>
          <w:szCs w:val="24"/>
          <w:lang w:eastAsia="en-GB"/>
        </w:rPr>
      </w:pPr>
    </w:p>
    <w:p w14:paraId="5184E84F" w14:textId="77777777" w:rsidR="00F77A10" w:rsidRPr="00552CEB" w:rsidRDefault="00A92176"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As well as performance, i</w:t>
      </w:r>
      <w:r w:rsidR="00F77A10" w:rsidRPr="00552CEB">
        <w:rPr>
          <w:sz w:val="24"/>
          <w:szCs w:val="24"/>
          <w:lang w:eastAsia="en-GB"/>
        </w:rPr>
        <w:t>t is also important to consider the financial strength of the Authority. A good indicator of financial strength is the level of reserves. The table below outlines the change in the Authority’s reserve position during the year.</w:t>
      </w:r>
    </w:p>
    <w:tbl>
      <w:tblPr>
        <w:tblW w:w="0" w:type="auto"/>
        <w:tblInd w:w="959" w:type="dxa"/>
        <w:tblLook w:val="04A0" w:firstRow="1" w:lastRow="0" w:firstColumn="1" w:lastColumn="0" w:noHBand="0" w:noVBand="1"/>
      </w:tblPr>
      <w:tblGrid>
        <w:gridCol w:w="4678"/>
        <w:gridCol w:w="1559"/>
        <w:gridCol w:w="1559"/>
      </w:tblGrid>
      <w:tr w:rsidR="00C2799A" w14:paraId="122DCBE7" w14:textId="77777777" w:rsidTr="00605186">
        <w:tc>
          <w:tcPr>
            <w:tcW w:w="4678" w:type="dxa"/>
          </w:tcPr>
          <w:p w14:paraId="72D10C64" w14:textId="77777777" w:rsidR="00C2799A" w:rsidRDefault="00C2799A" w:rsidP="00605186">
            <w:pPr>
              <w:autoSpaceDE w:val="0"/>
              <w:autoSpaceDN w:val="0"/>
              <w:adjustRightInd w:val="0"/>
              <w:spacing w:after="120"/>
              <w:rPr>
                <w:rFonts w:ascii="Arial" w:hAnsi="Arial" w:cs="Arial"/>
                <w:b/>
                <w:szCs w:val="24"/>
                <w:lang w:eastAsia="en-GB"/>
              </w:rPr>
            </w:pPr>
            <w:r>
              <w:rPr>
                <w:rFonts w:ascii="Arial" w:hAnsi="Arial" w:cs="Arial"/>
                <w:b/>
                <w:szCs w:val="24"/>
                <w:lang w:eastAsia="en-GB"/>
              </w:rPr>
              <w:t>Reserves</w:t>
            </w:r>
          </w:p>
        </w:tc>
        <w:tc>
          <w:tcPr>
            <w:tcW w:w="1559" w:type="dxa"/>
          </w:tcPr>
          <w:p w14:paraId="58D55588" w14:textId="77777777" w:rsidR="00C2799A" w:rsidRPr="0049048D" w:rsidRDefault="00C2799A" w:rsidP="00605186">
            <w:pPr>
              <w:autoSpaceDE w:val="0"/>
              <w:autoSpaceDN w:val="0"/>
              <w:adjustRightInd w:val="0"/>
              <w:spacing w:after="120"/>
              <w:jc w:val="right"/>
              <w:rPr>
                <w:rFonts w:ascii="Arial" w:hAnsi="Arial" w:cs="Arial"/>
                <w:b/>
                <w:szCs w:val="24"/>
                <w:lang w:eastAsia="en-GB"/>
              </w:rPr>
            </w:pPr>
          </w:p>
        </w:tc>
        <w:tc>
          <w:tcPr>
            <w:tcW w:w="1559" w:type="dxa"/>
          </w:tcPr>
          <w:p w14:paraId="0B3F3054" w14:textId="77777777" w:rsidR="00C2799A" w:rsidRDefault="00C2799A" w:rsidP="00605186">
            <w:pPr>
              <w:autoSpaceDE w:val="0"/>
              <w:autoSpaceDN w:val="0"/>
              <w:adjustRightInd w:val="0"/>
              <w:spacing w:after="120"/>
              <w:jc w:val="right"/>
              <w:rPr>
                <w:rFonts w:ascii="Arial" w:hAnsi="Arial" w:cs="Arial"/>
                <w:b/>
                <w:szCs w:val="24"/>
                <w:lang w:eastAsia="en-GB"/>
              </w:rPr>
            </w:pPr>
          </w:p>
        </w:tc>
      </w:tr>
      <w:tr w:rsidR="00C2799A" w:rsidRPr="004A6EFA" w14:paraId="1C678140" w14:textId="77777777" w:rsidTr="00605186">
        <w:tc>
          <w:tcPr>
            <w:tcW w:w="4678" w:type="dxa"/>
          </w:tcPr>
          <w:p w14:paraId="01F4180A" w14:textId="77777777" w:rsidR="00C2799A" w:rsidRPr="004A6EFA" w:rsidRDefault="00C2799A" w:rsidP="00605186">
            <w:pPr>
              <w:autoSpaceDE w:val="0"/>
              <w:autoSpaceDN w:val="0"/>
              <w:adjustRightInd w:val="0"/>
              <w:spacing w:after="120"/>
              <w:rPr>
                <w:rFonts w:ascii="Arial" w:hAnsi="Arial" w:cs="Arial"/>
                <w:szCs w:val="24"/>
                <w:lang w:eastAsia="en-GB"/>
              </w:rPr>
            </w:pPr>
            <w:r w:rsidRPr="004A6EFA">
              <w:rPr>
                <w:rFonts w:ascii="Arial" w:hAnsi="Arial" w:cs="Arial"/>
                <w:szCs w:val="24"/>
                <w:lang w:eastAsia="en-GB"/>
              </w:rPr>
              <w:t xml:space="preserve">Reserves </w:t>
            </w:r>
            <w:proofErr w:type="spellStart"/>
            <w:r w:rsidRPr="004A6EFA">
              <w:rPr>
                <w:rFonts w:ascii="Arial" w:hAnsi="Arial" w:cs="Arial"/>
                <w:szCs w:val="24"/>
                <w:lang w:eastAsia="en-GB"/>
              </w:rPr>
              <w:t>b/f</w:t>
            </w:r>
            <w:proofErr w:type="spellEnd"/>
          </w:p>
        </w:tc>
        <w:tc>
          <w:tcPr>
            <w:tcW w:w="1559" w:type="dxa"/>
          </w:tcPr>
          <w:p w14:paraId="0C4AF72D" w14:textId="77777777" w:rsidR="00C2799A" w:rsidRPr="004A6EFA" w:rsidRDefault="00C2799A" w:rsidP="00605186">
            <w:pPr>
              <w:autoSpaceDE w:val="0"/>
              <w:autoSpaceDN w:val="0"/>
              <w:adjustRightInd w:val="0"/>
              <w:spacing w:after="120"/>
              <w:jc w:val="right"/>
              <w:rPr>
                <w:rFonts w:ascii="Arial" w:hAnsi="Arial" w:cs="Arial"/>
                <w:szCs w:val="24"/>
                <w:lang w:eastAsia="en-GB"/>
              </w:rPr>
            </w:pPr>
          </w:p>
        </w:tc>
        <w:tc>
          <w:tcPr>
            <w:tcW w:w="1559" w:type="dxa"/>
          </w:tcPr>
          <w:p w14:paraId="32F92E07" w14:textId="77777777" w:rsidR="00C2799A" w:rsidRPr="004A6EFA" w:rsidRDefault="00120BCA" w:rsidP="00120BCA">
            <w:pPr>
              <w:autoSpaceDE w:val="0"/>
              <w:autoSpaceDN w:val="0"/>
              <w:adjustRightInd w:val="0"/>
              <w:spacing w:after="120"/>
              <w:jc w:val="right"/>
              <w:rPr>
                <w:rFonts w:ascii="Arial" w:hAnsi="Arial" w:cs="Arial"/>
                <w:szCs w:val="24"/>
                <w:lang w:eastAsia="en-GB"/>
              </w:rPr>
            </w:pPr>
            <w:r>
              <w:rPr>
                <w:rFonts w:ascii="Arial" w:hAnsi="Arial" w:cs="Arial"/>
                <w:szCs w:val="24"/>
                <w:lang w:eastAsia="en-GB"/>
              </w:rPr>
              <w:t>71,546</w:t>
            </w:r>
          </w:p>
        </w:tc>
      </w:tr>
      <w:tr w:rsidR="00C2799A" w:rsidRPr="004A6EFA" w14:paraId="7E39DC4B" w14:textId="77777777" w:rsidTr="00605186">
        <w:tc>
          <w:tcPr>
            <w:tcW w:w="4678" w:type="dxa"/>
          </w:tcPr>
          <w:p w14:paraId="49D6401D" w14:textId="77777777" w:rsidR="00C2799A" w:rsidRPr="004A6EFA" w:rsidRDefault="00B33235" w:rsidP="00B33235">
            <w:pPr>
              <w:autoSpaceDE w:val="0"/>
              <w:autoSpaceDN w:val="0"/>
              <w:adjustRightInd w:val="0"/>
              <w:spacing w:after="120"/>
              <w:rPr>
                <w:rFonts w:ascii="Arial" w:hAnsi="Arial" w:cs="Arial"/>
                <w:szCs w:val="24"/>
                <w:lang w:eastAsia="en-GB"/>
              </w:rPr>
            </w:pPr>
            <w:r>
              <w:rPr>
                <w:rFonts w:ascii="Arial" w:hAnsi="Arial" w:cs="Arial"/>
                <w:szCs w:val="24"/>
                <w:lang w:eastAsia="en-GB"/>
              </w:rPr>
              <w:t>Contribution to reserves</w:t>
            </w:r>
          </w:p>
        </w:tc>
        <w:tc>
          <w:tcPr>
            <w:tcW w:w="1559" w:type="dxa"/>
          </w:tcPr>
          <w:p w14:paraId="3B668226" w14:textId="77777777" w:rsidR="00C2799A" w:rsidRPr="004A6EFA" w:rsidRDefault="00C2799A" w:rsidP="00605186">
            <w:pPr>
              <w:autoSpaceDE w:val="0"/>
              <w:autoSpaceDN w:val="0"/>
              <w:adjustRightInd w:val="0"/>
              <w:spacing w:after="120"/>
              <w:rPr>
                <w:rFonts w:ascii="Arial" w:hAnsi="Arial" w:cs="Arial"/>
                <w:szCs w:val="24"/>
                <w:lang w:eastAsia="en-GB"/>
              </w:rPr>
            </w:pPr>
          </w:p>
        </w:tc>
        <w:tc>
          <w:tcPr>
            <w:tcW w:w="1559" w:type="dxa"/>
          </w:tcPr>
          <w:p w14:paraId="669BB349" w14:textId="77777777" w:rsidR="00C2799A" w:rsidRPr="004A6EFA" w:rsidRDefault="00120BCA" w:rsidP="00E35AEF">
            <w:pPr>
              <w:autoSpaceDE w:val="0"/>
              <w:autoSpaceDN w:val="0"/>
              <w:adjustRightInd w:val="0"/>
              <w:spacing w:after="120"/>
              <w:jc w:val="right"/>
              <w:rPr>
                <w:rFonts w:ascii="Arial" w:hAnsi="Arial" w:cs="Arial"/>
                <w:szCs w:val="24"/>
                <w:lang w:eastAsia="en-GB"/>
              </w:rPr>
            </w:pPr>
            <w:r>
              <w:rPr>
                <w:rFonts w:ascii="Arial" w:hAnsi="Arial" w:cs="Arial"/>
                <w:szCs w:val="24"/>
                <w:lang w:eastAsia="en-GB"/>
              </w:rPr>
              <w:t>5,587</w:t>
            </w:r>
          </w:p>
        </w:tc>
      </w:tr>
      <w:tr w:rsidR="00C2799A" w:rsidRPr="004A6EFA" w14:paraId="31FF12AF" w14:textId="77777777" w:rsidTr="00605186">
        <w:tc>
          <w:tcPr>
            <w:tcW w:w="4678" w:type="dxa"/>
          </w:tcPr>
          <w:p w14:paraId="0CC53537" w14:textId="77777777" w:rsidR="00C2799A" w:rsidRPr="004A6EFA" w:rsidRDefault="00C2799A" w:rsidP="00605186">
            <w:pPr>
              <w:autoSpaceDE w:val="0"/>
              <w:autoSpaceDN w:val="0"/>
              <w:adjustRightInd w:val="0"/>
              <w:spacing w:after="120"/>
              <w:rPr>
                <w:rFonts w:ascii="Arial" w:hAnsi="Arial" w:cs="Arial"/>
                <w:b/>
                <w:szCs w:val="24"/>
                <w:lang w:eastAsia="en-GB"/>
              </w:rPr>
            </w:pPr>
            <w:r w:rsidRPr="004A6EFA">
              <w:rPr>
                <w:rFonts w:ascii="Arial" w:hAnsi="Arial" w:cs="Arial"/>
                <w:b/>
                <w:szCs w:val="24"/>
                <w:lang w:eastAsia="en-GB"/>
              </w:rPr>
              <w:t>Reserves c/f</w:t>
            </w:r>
          </w:p>
        </w:tc>
        <w:tc>
          <w:tcPr>
            <w:tcW w:w="1559" w:type="dxa"/>
          </w:tcPr>
          <w:p w14:paraId="04973E26" w14:textId="77777777" w:rsidR="00C2799A" w:rsidRPr="004A6EFA" w:rsidRDefault="00C2799A" w:rsidP="00605186">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14:paraId="3937F000" w14:textId="77777777" w:rsidR="00C2799A" w:rsidRPr="004A6EFA" w:rsidRDefault="00E765BB" w:rsidP="00556097">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7</w:t>
            </w:r>
            <w:r w:rsidR="00120BCA">
              <w:rPr>
                <w:rFonts w:ascii="Arial" w:hAnsi="Arial" w:cs="Arial"/>
                <w:b/>
                <w:szCs w:val="24"/>
                <w:lang w:eastAsia="en-GB"/>
              </w:rPr>
              <w:t>7,133</w:t>
            </w:r>
          </w:p>
        </w:tc>
      </w:tr>
    </w:tbl>
    <w:p w14:paraId="217C7F85" w14:textId="77777777" w:rsidR="00B33235" w:rsidRDefault="00B33235" w:rsidP="00153491">
      <w:pPr>
        <w:pStyle w:val="ListParagraph"/>
        <w:autoSpaceDE w:val="0"/>
        <w:autoSpaceDN w:val="0"/>
        <w:adjustRightInd w:val="0"/>
        <w:spacing w:after="120"/>
        <w:ind w:left="170"/>
        <w:jc w:val="both"/>
        <w:rPr>
          <w:sz w:val="24"/>
          <w:szCs w:val="24"/>
          <w:lang w:eastAsia="en-GB"/>
        </w:rPr>
      </w:pPr>
    </w:p>
    <w:p w14:paraId="4034D0C8" w14:textId="77777777" w:rsidR="00B33235" w:rsidRDefault="009A04FD" w:rsidP="00216DA7">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However, </w:t>
      </w:r>
      <w:r w:rsidR="00934D6C">
        <w:rPr>
          <w:sz w:val="24"/>
          <w:szCs w:val="24"/>
          <w:lang w:eastAsia="en-GB"/>
        </w:rPr>
        <w:t xml:space="preserve">property valuation gains </w:t>
      </w:r>
      <w:r w:rsidR="00B33235">
        <w:rPr>
          <w:sz w:val="24"/>
          <w:szCs w:val="24"/>
          <w:lang w:eastAsia="en-GB"/>
        </w:rPr>
        <w:t xml:space="preserve">are </w:t>
      </w:r>
      <w:r w:rsidR="00927A09">
        <w:rPr>
          <w:sz w:val="24"/>
          <w:szCs w:val="24"/>
          <w:lang w:eastAsia="en-GB"/>
        </w:rPr>
        <w:t xml:space="preserve">notional </w:t>
      </w:r>
      <w:r w:rsidR="00B33235">
        <w:rPr>
          <w:sz w:val="24"/>
          <w:szCs w:val="24"/>
          <w:lang w:eastAsia="en-GB"/>
        </w:rPr>
        <w:t xml:space="preserve">and a result of </w:t>
      </w:r>
      <w:r w:rsidR="00934D6C">
        <w:rPr>
          <w:sz w:val="24"/>
          <w:szCs w:val="24"/>
          <w:lang w:eastAsia="en-GB"/>
        </w:rPr>
        <w:t>valuation exercises.</w:t>
      </w:r>
      <w:r w:rsidR="003A3671">
        <w:rPr>
          <w:sz w:val="24"/>
          <w:szCs w:val="24"/>
          <w:lang w:eastAsia="en-GB"/>
        </w:rPr>
        <w:t xml:space="preserve"> Furthermore as proposed in the </w:t>
      </w:r>
      <w:r w:rsidR="00E6703C">
        <w:rPr>
          <w:sz w:val="24"/>
          <w:szCs w:val="24"/>
          <w:lang w:eastAsia="en-GB"/>
        </w:rPr>
        <w:t xml:space="preserve">draft </w:t>
      </w:r>
      <w:r w:rsidR="003A3671">
        <w:rPr>
          <w:sz w:val="24"/>
          <w:szCs w:val="24"/>
          <w:lang w:eastAsia="en-GB"/>
        </w:rPr>
        <w:t xml:space="preserve">Finance Strategy two thirds of the additional income from the PPP contract will be passed through to boroughs and one third will be retained by the Authority for strategic projects. </w:t>
      </w:r>
      <w:r>
        <w:rPr>
          <w:sz w:val="24"/>
          <w:szCs w:val="24"/>
          <w:lang w:eastAsia="en-GB"/>
        </w:rPr>
        <w:t xml:space="preserve"> Also the investment made to Boroughs in 2022/23 for HRRC Improvements has not been fully utilised, and the balance has been earmarked from reserves to be disbursed in 2023/24.  </w:t>
      </w:r>
      <w:r w:rsidR="00934D6C">
        <w:rPr>
          <w:sz w:val="24"/>
          <w:szCs w:val="24"/>
          <w:lang w:eastAsia="en-GB"/>
        </w:rPr>
        <w:t xml:space="preserve">Therefore by excluding these we </w:t>
      </w:r>
      <w:r w:rsidR="009B7AEE">
        <w:rPr>
          <w:sz w:val="24"/>
          <w:szCs w:val="24"/>
          <w:lang w:eastAsia="en-GB"/>
        </w:rPr>
        <w:t xml:space="preserve">have a more realistic picture of </w:t>
      </w:r>
      <w:r w:rsidR="00934D6C">
        <w:rPr>
          <w:sz w:val="24"/>
          <w:szCs w:val="24"/>
          <w:lang w:eastAsia="en-GB"/>
        </w:rPr>
        <w:t xml:space="preserve">the level of reserves available to the Authority </w:t>
      </w:r>
      <w:r w:rsidR="009B7AEE">
        <w:rPr>
          <w:sz w:val="24"/>
          <w:szCs w:val="24"/>
          <w:lang w:eastAsia="en-GB"/>
        </w:rPr>
        <w:t>for managing</w:t>
      </w:r>
      <w:r w:rsidR="00934D6C">
        <w:rPr>
          <w:sz w:val="24"/>
          <w:szCs w:val="24"/>
          <w:lang w:eastAsia="en-GB"/>
        </w:rPr>
        <w:t xml:space="preserve"> risks. </w:t>
      </w:r>
    </w:p>
    <w:tbl>
      <w:tblPr>
        <w:tblW w:w="0" w:type="auto"/>
        <w:tblInd w:w="959" w:type="dxa"/>
        <w:tblLook w:val="04A0" w:firstRow="1" w:lastRow="0" w:firstColumn="1" w:lastColumn="0" w:noHBand="0" w:noVBand="1"/>
      </w:tblPr>
      <w:tblGrid>
        <w:gridCol w:w="4678"/>
        <w:gridCol w:w="1559"/>
        <w:gridCol w:w="1559"/>
      </w:tblGrid>
      <w:tr w:rsidR="00934D6C" w:rsidRPr="004A6EFA" w14:paraId="71FD4077" w14:textId="77777777" w:rsidTr="009B7AEE">
        <w:tc>
          <w:tcPr>
            <w:tcW w:w="4678" w:type="dxa"/>
          </w:tcPr>
          <w:p w14:paraId="453A5CBA" w14:textId="77777777" w:rsidR="00934D6C" w:rsidRPr="004A6EFA" w:rsidRDefault="00934D6C" w:rsidP="00934D6C">
            <w:pPr>
              <w:autoSpaceDE w:val="0"/>
              <w:autoSpaceDN w:val="0"/>
              <w:adjustRightInd w:val="0"/>
              <w:spacing w:after="120"/>
              <w:rPr>
                <w:rFonts w:ascii="Arial" w:hAnsi="Arial" w:cs="Arial"/>
                <w:szCs w:val="24"/>
                <w:lang w:eastAsia="en-GB"/>
              </w:rPr>
            </w:pPr>
            <w:r w:rsidRPr="004A6EFA">
              <w:rPr>
                <w:rFonts w:ascii="Arial" w:hAnsi="Arial" w:cs="Arial"/>
                <w:szCs w:val="24"/>
                <w:lang w:eastAsia="en-GB"/>
              </w:rPr>
              <w:t xml:space="preserve">Reserves </w:t>
            </w:r>
          </w:p>
        </w:tc>
        <w:tc>
          <w:tcPr>
            <w:tcW w:w="1559" w:type="dxa"/>
          </w:tcPr>
          <w:p w14:paraId="6B041DC4" w14:textId="77777777" w:rsidR="00934D6C" w:rsidRPr="004A6EFA" w:rsidRDefault="00934D6C" w:rsidP="009B7AEE">
            <w:pPr>
              <w:autoSpaceDE w:val="0"/>
              <w:autoSpaceDN w:val="0"/>
              <w:adjustRightInd w:val="0"/>
              <w:spacing w:after="120"/>
              <w:jc w:val="right"/>
              <w:rPr>
                <w:rFonts w:ascii="Arial" w:hAnsi="Arial" w:cs="Arial"/>
                <w:szCs w:val="24"/>
                <w:lang w:eastAsia="en-GB"/>
              </w:rPr>
            </w:pPr>
          </w:p>
        </w:tc>
        <w:tc>
          <w:tcPr>
            <w:tcW w:w="1559" w:type="dxa"/>
          </w:tcPr>
          <w:p w14:paraId="17F6CC03" w14:textId="77777777" w:rsidR="00934D6C" w:rsidRPr="004A6EFA" w:rsidRDefault="009A04FD" w:rsidP="00556097">
            <w:pPr>
              <w:autoSpaceDE w:val="0"/>
              <w:autoSpaceDN w:val="0"/>
              <w:adjustRightInd w:val="0"/>
              <w:spacing w:after="120"/>
              <w:jc w:val="right"/>
              <w:rPr>
                <w:rFonts w:ascii="Arial" w:hAnsi="Arial" w:cs="Arial"/>
                <w:szCs w:val="24"/>
                <w:lang w:eastAsia="en-GB"/>
              </w:rPr>
            </w:pPr>
            <w:r>
              <w:rPr>
                <w:rFonts w:ascii="Arial" w:hAnsi="Arial" w:cs="Arial"/>
                <w:szCs w:val="24"/>
                <w:lang w:eastAsia="en-GB"/>
              </w:rPr>
              <w:t>77,133</w:t>
            </w:r>
          </w:p>
        </w:tc>
      </w:tr>
      <w:tr w:rsidR="00934D6C" w:rsidRPr="004A6EFA" w14:paraId="6B754386" w14:textId="77777777" w:rsidTr="009B7AEE">
        <w:tc>
          <w:tcPr>
            <w:tcW w:w="4678" w:type="dxa"/>
          </w:tcPr>
          <w:p w14:paraId="1B9F09F9" w14:textId="77777777" w:rsidR="00934D6C" w:rsidRPr="004A6EFA" w:rsidRDefault="00934D6C" w:rsidP="00934D6C">
            <w:pPr>
              <w:autoSpaceDE w:val="0"/>
              <w:autoSpaceDN w:val="0"/>
              <w:adjustRightInd w:val="0"/>
              <w:spacing w:after="120"/>
              <w:rPr>
                <w:rFonts w:ascii="Arial" w:hAnsi="Arial" w:cs="Arial"/>
                <w:szCs w:val="24"/>
                <w:lang w:eastAsia="en-GB"/>
              </w:rPr>
            </w:pPr>
            <w:r>
              <w:rPr>
                <w:rFonts w:ascii="Arial" w:hAnsi="Arial" w:cs="Arial"/>
                <w:szCs w:val="24"/>
                <w:lang w:eastAsia="en-GB"/>
              </w:rPr>
              <w:t xml:space="preserve">Exclude property revaluation gains </w:t>
            </w:r>
          </w:p>
        </w:tc>
        <w:tc>
          <w:tcPr>
            <w:tcW w:w="1559" w:type="dxa"/>
          </w:tcPr>
          <w:p w14:paraId="3F4E48EF" w14:textId="77777777" w:rsidR="00934D6C" w:rsidRPr="004A6EFA" w:rsidRDefault="00934D6C" w:rsidP="009B7AEE">
            <w:pPr>
              <w:autoSpaceDE w:val="0"/>
              <w:autoSpaceDN w:val="0"/>
              <w:adjustRightInd w:val="0"/>
              <w:spacing w:after="120"/>
              <w:rPr>
                <w:rFonts w:ascii="Arial" w:hAnsi="Arial" w:cs="Arial"/>
                <w:szCs w:val="24"/>
                <w:lang w:eastAsia="en-GB"/>
              </w:rPr>
            </w:pPr>
          </w:p>
        </w:tc>
        <w:tc>
          <w:tcPr>
            <w:tcW w:w="1559" w:type="dxa"/>
          </w:tcPr>
          <w:p w14:paraId="3950CA7F" w14:textId="77777777" w:rsidR="00934D6C" w:rsidRPr="004A6EFA" w:rsidRDefault="00934D6C" w:rsidP="009A04FD">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9A04FD">
              <w:rPr>
                <w:rFonts w:ascii="Arial" w:hAnsi="Arial" w:cs="Arial"/>
                <w:szCs w:val="24"/>
                <w:lang w:eastAsia="en-GB"/>
              </w:rPr>
              <w:t>52,732</w:t>
            </w:r>
            <w:r>
              <w:rPr>
                <w:rFonts w:ascii="Arial" w:hAnsi="Arial" w:cs="Arial"/>
                <w:szCs w:val="24"/>
                <w:lang w:eastAsia="en-GB"/>
              </w:rPr>
              <w:t>)</w:t>
            </w:r>
          </w:p>
        </w:tc>
      </w:tr>
      <w:tr w:rsidR="003A3671" w:rsidRPr="004A6EFA" w14:paraId="4DE55796" w14:textId="77777777" w:rsidTr="009B7AEE">
        <w:tc>
          <w:tcPr>
            <w:tcW w:w="4678" w:type="dxa"/>
          </w:tcPr>
          <w:p w14:paraId="0CAC6046" w14:textId="77777777" w:rsidR="003A3671" w:rsidRDefault="009A04FD" w:rsidP="003A3671">
            <w:pPr>
              <w:autoSpaceDE w:val="0"/>
              <w:autoSpaceDN w:val="0"/>
              <w:adjustRightInd w:val="0"/>
              <w:spacing w:after="120"/>
              <w:rPr>
                <w:rFonts w:ascii="Arial" w:hAnsi="Arial" w:cs="Arial"/>
                <w:szCs w:val="24"/>
                <w:lang w:eastAsia="en-GB"/>
              </w:rPr>
            </w:pPr>
            <w:r>
              <w:rPr>
                <w:rFonts w:ascii="Arial" w:hAnsi="Arial" w:cs="Arial"/>
                <w:szCs w:val="24"/>
                <w:lang w:eastAsia="en-GB"/>
              </w:rPr>
              <w:t>PPP income retained by WLWA from FY22 and FY23</w:t>
            </w:r>
          </w:p>
        </w:tc>
        <w:tc>
          <w:tcPr>
            <w:tcW w:w="1559" w:type="dxa"/>
          </w:tcPr>
          <w:p w14:paraId="4BF602D2" w14:textId="77777777" w:rsidR="003A3671" w:rsidRPr="004A6EFA" w:rsidRDefault="003A3671" w:rsidP="009B7AEE">
            <w:pPr>
              <w:autoSpaceDE w:val="0"/>
              <w:autoSpaceDN w:val="0"/>
              <w:adjustRightInd w:val="0"/>
              <w:spacing w:after="120"/>
              <w:rPr>
                <w:rFonts w:ascii="Arial" w:hAnsi="Arial" w:cs="Arial"/>
                <w:szCs w:val="24"/>
                <w:lang w:eastAsia="en-GB"/>
              </w:rPr>
            </w:pPr>
          </w:p>
        </w:tc>
        <w:tc>
          <w:tcPr>
            <w:tcW w:w="1559" w:type="dxa"/>
          </w:tcPr>
          <w:p w14:paraId="37D6FE44" w14:textId="77777777" w:rsidR="003A3671" w:rsidRDefault="009A04FD" w:rsidP="003A3671">
            <w:pPr>
              <w:autoSpaceDE w:val="0"/>
              <w:autoSpaceDN w:val="0"/>
              <w:adjustRightInd w:val="0"/>
              <w:spacing w:after="120"/>
              <w:jc w:val="right"/>
              <w:rPr>
                <w:rFonts w:ascii="Arial" w:hAnsi="Arial" w:cs="Arial"/>
                <w:szCs w:val="24"/>
                <w:lang w:eastAsia="en-GB"/>
              </w:rPr>
            </w:pPr>
            <w:r>
              <w:rPr>
                <w:rFonts w:ascii="Arial" w:hAnsi="Arial" w:cs="Arial"/>
                <w:szCs w:val="24"/>
                <w:lang w:eastAsia="en-GB"/>
              </w:rPr>
              <w:t>(9,917)</w:t>
            </w:r>
          </w:p>
        </w:tc>
      </w:tr>
      <w:tr w:rsidR="003A3671" w:rsidRPr="004A6EFA" w14:paraId="49E4F1BC" w14:textId="77777777" w:rsidTr="009B7AEE">
        <w:tc>
          <w:tcPr>
            <w:tcW w:w="4678" w:type="dxa"/>
          </w:tcPr>
          <w:p w14:paraId="725DEA02" w14:textId="77777777" w:rsidR="003A3671" w:rsidRDefault="009A04FD" w:rsidP="003A3671">
            <w:pPr>
              <w:autoSpaceDE w:val="0"/>
              <w:autoSpaceDN w:val="0"/>
              <w:adjustRightInd w:val="0"/>
              <w:spacing w:after="120"/>
              <w:rPr>
                <w:rFonts w:ascii="Arial" w:hAnsi="Arial" w:cs="Arial"/>
                <w:szCs w:val="24"/>
                <w:lang w:eastAsia="en-GB"/>
              </w:rPr>
            </w:pPr>
            <w:r>
              <w:rPr>
                <w:rFonts w:ascii="Arial" w:hAnsi="Arial" w:cs="Arial"/>
                <w:szCs w:val="24"/>
                <w:lang w:eastAsia="en-GB"/>
              </w:rPr>
              <w:t>HRRC funding to be spent in FY24</w:t>
            </w:r>
          </w:p>
        </w:tc>
        <w:tc>
          <w:tcPr>
            <w:tcW w:w="1559" w:type="dxa"/>
          </w:tcPr>
          <w:p w14:paraId="17E74ABC" w14:textId="77777777" w:rsidR="003A3671" w:rsidRPr="004A6EFA" w:rsidRDefault="003A3671" w:rsidP="009B7AEE">
            <w:pPr>
              <w:autoSpaceDE w:val="0"/>
              <w:autoSpaceDN w:val="0"/>
              <w:adjustRightInd w:val="0"/>
              <w:spacing w:after="120"/>
              <w:rPr>
                <w:rFonts w:ascii="Arial" w:hAnsi="Arial" w:cs="Arial"/>
                <w:szCs w:val="24"/>
                <w:lang w:eastAsia="en-GB"/>
              </w:rPr>
            </w:pPr>
          </w:p>
        </w:tc>
        <w:tc>
          <w:tcPr>
            <w:tcW w:w="1559" w:type="dxa"/>
          </w:tcPr>
          <w:p w14:paraId="1F2AD974" w14:textId="77777777" w:rsidR="003A3671" w:rsidRDefault="009A04FD" w:rsidP="003A3671">
            <w:pPr>
              <w:autoSpaceDE w:val="0"/>
              <w:autoSpaceDN w:val="0"/>
              <w:adjustRightInd w:val="0"/>
              <w:spacing w:after="120"/>
              <w:jc w:val="right"/>
              <w:rPr>
                <w:rFonts w:ascii="Arial" w:hAnsi="Arial" w:cs="Arial"/>
                <w:szCs w:val="24"/>
                <w:lang w:eastAsia="en-GB"/>
              </w:rPr>
            </w:pPr>
            <w:r>
              <w:rPr>
                <w:rFonts w:ascii="Arial" w:hAnsi="Arial" w:cs="Arial"/>
                <w:szCs w:val="24"/>
                <w:lang w:eastAsia="en-GB"/>
              </w:rPr>
              <w:t>(935)</w:t>
            </w:r>
          </w:p>
        </w:tc>
      </w:tr>
      <w:tr w:rsidR="00934D6C" w:rsidRPr="004A6EFA" w14:paraId="770D57BE" w14:textId="77777777" w:rsidTr="009B7AEE">
        <w:tc>
          <w:tcPr>
            <w:tcW w:w="4678" w:type="dxa"/>
          </w:tcPr>
          <w:p w14:paraId="6F1A94C8" w14:textId="77777777" w:rsidR="00934D6C" w:rsidRPr="004A6EFA" w:rsidRDefault="00934D6C" w:rsidP="00934D6C">
            <w:pPr>
              <w:autoSpaceDE w:val="0"/>
              <w:autoSpaceDN w:val="0"/>
              <w:adjustRightInd w:val="0"/>
              <w:spacing w:after="120"/>
              <w:rPr>
                <w:rFonts w:ascii="Arial" w:hAnsi="Arial" w:cs="Arial"/>
                <w:szCs w:val="24"/>
                <w:lang w:eastAsia="en-GB"/>
              </w:rPr>
            </w:pPr>
            <w:r>
              <w:rPr>
                <w:rFonts w:ascii="Arial" w:hAnsi="Arial" w:cs="Arial"/>
                <w:b/>
                <w:szCs w:val="24"/>
                <w:lang w:eastAsia="en-GB"/>
              </w:rPr>
              <w:t>Reserves available to manage risks</w:t>
            </w:r>
          </w:p>
        </w:tc>
        <w:tc>
          <w:tcPr>
            <w:tcW w:w="1559" w:type="dxa"/>
          </w:tcPr>
          <w:p w14:paraId="69CAB48A" w14:textId="77777777" w:rsidR="00934D6C" w:rsidRPr="004A6EFA" w:rsidRDefault="00934D6C" w:rsidP="009B7AEE">
            <w:pPr>
              <w:autoSpaceDE w:val="0"/>
              <w:autoSpaceDN w:val="0"/>
              <w:adjustRightInd w:val="0"/>
              <w:spacing w:after="120"/>
              <w:jc w:val="right"/>
              <w:rPr>
                <w:rFonts w:ascii="Arial" w:hAnsi="Arial" w:cs="Arial"/>
                <w:szCs w:val="24"/>
                <w:lang w:eastAsia="en-GB"/>
              </w:rPr>
            </w:pPr>
          </w:p>
        </w:tc>
        <w:tc>
          <w:tcPr>
            <w:tcW w:w="1559" w:type="dxa"/>
            <w:tcBorders>
              <w:top w:val="single" w:sz="4" w:space="0" w:color="auto"/>
            </w:tcBorders>
          </w:tcPr>
          <w:p w14:paraId="207D03F3" w14:textId="77777777" w:rsidR="00934D6C" w:rsidRPr="004A6EFA" w:rsidRDefault="003A3671" w:rsidP="00556097">
            <w:pPr>
              <w:autoSpaceDE w:val="0"/>
              <w:autoSpaceDN w:val="0"/>
              <w:adjustRightInd w:val="0"/>
              <w:spacing w:after="120"/>
              <w:jc w:val="right"/>
              <w:rPr>
                <w:rFonts w:ascii="Arial" w:hAnsi="Arial" w:cs="Arial"/>
                <w:szCs w:val="24"/>
                <w:lang w:eastAsia="en-GB"/>
              </w:rPr>
            </w:pPr>
            <w:r>
              <w:rPr>
                <w:rFonts w:ascii="Arial" w:hAnsi="Arial" w:cs="Arial"/>
                <w:b/>
                <w:szCs w:val="24"/>
                <w:lang w:eastAsia="en-GB"/>
              </w:rPr>
              <w:t>1</w:t>
            </w:r>
            <w:r w:rsidR="009A04FD">
              <w:rPr>
                <w:rFonts w:ascii="Arial" w:hAnsi="Arial" w:cs="Arial"/>
                <w:b/>
                <w:szCs w:val="24"/>
                <w:lang w:eastAsia="en-GB"/>
              </w:rPr>
              <w:t>3,550</w:t>
            </w:r>
          </w:p>
        </w:tc>
      </w:tr>
      <w:tr w:rsidR="00934D6C" w:rsidRPr="004A6EFA" w14:paraId="38A5527A" w14:textId="77777777" w:rsidTr="009B7AEE">
        <w:tc>
          <w:tcPr>
            <w:tcW w:w="4678" w:type="dxa"/>
          </w:tcPr>
          <w:p w14:paraId="55EC0564" w14:textId="77777777" w:rsidR="00934D6C" w:rsidRPr="004A6EFA" w:rsidRDefault="00934D6C" w:rsidP="009B7AEE">
            <w:pPr>
              <w:autoSpaceDE w:val="0"/>
              <w:autoSpaceDN w:val="0"/>
              <w:adjustRightInd w:val="0"/>
              <w:spacing w:after="120"/>
              <w:rPr>
                <w:rFonts w:ascii="Arial" w:hAnsi="Arial" w:cs="Arial"/>
                <w:b/>
                <w:szCs w:val="24"/>
                <w:lang w:eastAsia="en-GB"/>
              </w:rPr>
            </w:pPr>
          </w:p>
        </w:tc>
        <w:tc>
          <w:tcPr>
            <w:tcW w:w="1559" w:type="dxa"/>
          </w:tcPr>
          <w:p w14:paraId="5A97A06C" w14:textId="77777777" w:rsidR="00934D6C" w:rsidRPr="004A6EFA" w:rsidRDefault="00934D6C" w:rsidP="009B7AEE">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14:paraId="05F239F0" w14:textId="77777777" w:rsidR="00934D6C" w:rsidRPr="004A6EFA" w:rsidRDefault="00934D6C" w:rsidP="009B7AEE">
            <w:pPr>
              <w:autoSpaceDE w:val="0"/>
              <w:autoSpaceDN w:val="0"/>
              <w:adjustRightInd w:val="0"/>
              <w:spacing w:after="120"/>
              <w:jc w:val="right"/>
              <w:rPr>
                <w:rFonts w:ascii="Arial" w:hAnsi="Arial" w:cs="Arial"/>
                <w:b/>
                <w:szCs w:val="24"/>
                <w:lang w:eastAsia="en-GB"/>
              </w:rPr>
            </w:pPr>
          </w:p>
        </w:tc>
      </w:tr>
    </w:tbl>
    <w:p w14:paraId="62C6FEFE" w14:textId="77777777" w:rsidR="00C26270" w:rsidRDefault="00C26270" w:rsidP="00C26270">
      <w:pPr>
        <w:pStyle w:val="ListParagraph"/>
        <w:autoSpaceDE w:val="0"/>
        <w:autoSpaceDN w:val="0"/>
        <w:adjustRightInd w:val="0"/>
        <w:spacing w:after="120"/>
        <w:ind w:left="360"/>
        <w:jc w:val="both"/>
        <w:rPr>
          <w:sz w:val="24"/>
          <w:szCs w:val="24"/>
          <w:lang w:eastAsia="en-GB"/>
        </w:rPr>
      </w:pPr>
    </w:p>
    <w:p w14:paraId="3959E531" w14:textId="25EF2764" w:rsidR="00153491" w:rsidRPr="00552CEB" w:rsidRDefault="00153491" w:rsidP="00216DA7">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Once again, by considering reserves </w:t>
      </w:r>
      <w:r w:rsidR="009B7AEE">
        <w:rPr>
          <w:sz w:val="24"/>
          <w:szCs w:val="24"/>
          <w:lang w:eastAsia="en-GB"/>
        </w:rPr>
        <w:t xml:space="preserve">available to manage risk </w:t>
      </w:r>
      <w:r w:rsidRPr="00552CEB">
        <w:rPr>
          <w:sz w:val="24"/>
          <w:szCs w:val="24"/>
          <w:lang w:eastAsia="en-GB"/>
        </w:rPr>
        <w:t xml:space="preserve">over a longer timeframe, provides a more strategic perspective. </w:t>
      </w:r>
      <w:r w:rsidR="009B7AEE">
        <w:rPr>
          <w:sz w:val="24"/>
          <w:szCs w:val="24"/>
          <w:lang w:eastAsia="en-GB"/>
        </w:rPr>
        <w:t>T</w:t>
      </w:r>
      <w:r w:rsidRPr="00552CEB">
        <w:rPr>
          <w:sz w:val="24"/>
          <w:szCs w:val="24"/>
          <w:lang w:eastAsia="en-GB"/>
        </w:rPr>
        <w:t>he following chart plots the</w:t>
      </w:r>
      <w:r w:rsidR="009B7AEE">
        <w:rPr>
          <w:sz w:val="24"/>
          <w:szCs w:val="24"/>
          <w:lang w:eastAsia="en-GB"/>
        </w:rPr>
        <w:t>se</w:t>
      </w:r>
      <w:r w:rsidRPr="00552CEB">
        <w:rPr>
          <w:sz w:val="24"/>
          <w:szCs w:val="24"/>
          <w:lang w:eastAsia="en-GB"/>
        </w:rPr>
        <w:t xml:space="preserve"> over the same period</w:t>
      </w:r>
      <w:r w:rsidR="00D11D6A">
        <w:rPr>
          <w:sz w:val="24"/>
          <w:szCs w:val="24"/>
          <w:lang w:eastAsia="en-GB"/>
        </w:rPr>
        <w:t xml:space="preserve"> </w:t>
      </w:r>
      <w:r w:rsidR="00D11D6A">
        <w:rPr>
          <w:sz w:val="24"/>
          <w:szCs w:val="24"/>
          <w:lang w:eastAsia="en-GB"/>
        </w:rPr>
        <w:lastRenderedPageBreak/>
        <w:t>appl</w:t>
      </w:r>
      <w:r w:rsidR="00684046">
        <w:rPr>
          <w:sz w:val="24"/>
          <w:szCs w:val="24"/>
          <w:lang w:eastAsia="en-GB"/>
        </w:rPr>
        <w:t xml:space="preserve">ying </w:t>
      </w:r>
      <w:r w:rsidR="00D11D6A">
        <w:rPr>
          <w:sz w:val="24"/>
          <w:szCs w:val="24"/>
          <w:lang w:eastAsia="en-GB"/>
        </w:rPr>
        <w:t>the new income sharing arrangements within the draft Finance Strategy</w:t>
      </w:r>
      <w:r w:rsidR="00684046">
        <w:rPr>
          <w:sz w:val="24"/>
          <w:szCs w:val="24"/>
          <w:lang w:eastAsia="en-GB"/>
        </w:rPr>
        <w:t xml:space="preserve"> to the latest year</w:t>
      </w:r>
      <w:r w:rsidRPr="00552CEB">
        <w:rPr>
          <w:sz w:val="24"/>
          <w:szCs w:val="24"/>
          <w:lang w:eastAsia="en-GB"/>
        </w:rPr>
        <w:t>.</w:t>
      </w:r>
      <w:r w:rsidR="00D11D6A">
        <w:rPr>
          <w:sz w:val="24"/>
          <w:szCs w:val="24"/>
          <w:lang w:eastAsia="en-GB"/>
        </w:rPr>
        <w:t xml:space="preserve"> </w:t>
      </w:r>
    </w:p>
    <w:p w14:paraId="48BA5E98" w14:textId="77777777" w:rsidR="00153491" w:rsidRDefault="009A04FD" w:rsidP="00216DA7">
      <w:pPr>
        <w:autoSpaceDE w:val="0"/>
        <w:autoSpaceDN w:val="0"/>
        <w:adjustRightInd w:val="0"/>
        <w:spacing w:after="120"/>
        <w:ind w:left="170"/>
        <w:jc w:val="center"/>
        <w:rPr>
          <w:rFonts w:ascii="Arial" w:hAnsi="Arial" w:cs="Arial"/>
          <w:szCs w:val="24"/>
          <w:lang w:eastAsia="en-GB"/>
        </w:rPr>
      </w:pPr>
      <w:r>
        <w:rPr>
          <w:rFonts w:ascii="Arial" w:hAnsi="Arial" w:cs="Arial"/>
          <w:noProof/>
          <w:szCs w:val="24"/>
          <w:lang w:eastAsia="en-GB"/>
        </w:rPr>
        <w:drawing>
          <wp:inline distT="0" distB="0" distL="0" distR="0" wp14:anchorId="407B2F1C" wp14:editId="50CB28FA">
            <wp:extent cx="6020784" cy="238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8898" cy="2390628"/>
                    </a:xfrm>
                    <a:prstGeom prst="rect">
                      <a:avLst/>
                    </a:prstGeom>
                    <a:noFill/>
                  </pic:spPr>
                </pic:pic>
              </a:graphicData>
            </a:graphic>
          </wp:inline>
        </w:drawing>
      </w:r>
    </w:p>
    <w:p w14:paraId="30CBC63C" w14:textId="77777777" w:rsidR="00D11D6A" w:rsidRDefault="00D11D6A" w:rsidP="00D11D6A">
      <w:pPr>
        <w:autoSpaceDE w:val="0"/>
        <w:autoSpaceDN w:val="0"/>
        <w:adjustRightInd w:val="0"/>
        <w:spacing w:after="120"/>
        <w:ind w:left="360"/>
        <w:jc w:val="both"/>
        <w:rPr>
          <w:rFonts w:ascii="Arial" w:hAnsi="Arial" w:cs="Arial"/>
          <w:szCs w:val="24"/>
          <w:lang w:eastAsia="en-GB"/>
        </w:rPr>
      </w:pPr>
    </w:p>
    <w:p w14:paraId="1480BD8C" w14:textId="77777777" w:rsidR="009B7AEE" w:rsidRDefault="003F0505" w:rsidP="003F0505">
      <w:pPr>
        <w:pStyle w:val="ListParagraph"/>
        <w:numPr>
          <w:ilvl w:val="0"/>
          <w:numId w:val="30"/>
        </w:numPr>
        <w:autoSpaceDE w:val="0"/>
        <w:autoSpaceDN w:val="0"/>
        <w:adjustRightInd w:val="0"/>
        <w:spacing w:after="120"/>
        <w:jc w:val="both"/>
        <w:rPr>
          <w:sz w:val="24"/>
          <w:szCs w:val="24"/>
          <w:lang w:eastAsia="en-GB"/>
        </w:rPr>
      </w:pPr>
      <w:r w:rsidRPr="00136986">
        <w:rPr>
          <w:sz w:val="24"/>
          <w:szCs w:val="24"/>
        </w:rPr>
        <w:t xml:space="preserve">The chart above </w:t>
      </w:r>
      <w:r w:rsidR="00D11D6A">
        <w:rPr>
          <w:sz w:val="24"/>
          <w:szCs w:val="24"/>
        </w:rPr>
        <w:t xml:space="preserve">shows that </w:t>
      </w:r>
      <w:r w:rsidRPr="00136986">
        <w:rPr>
          <w:sz w:val="24"/>
          <w:szCs w:val="24"/>
        </w:rPr>
        <w:t xml:space="preserve">the Authority has improved its position by building </w:t>
      </w:r>
      <w:r w:rsidR="00E6703C">
        <w:rPr>
          <w:sz w:val="24"/>
          <w:szCs w:val="24"/>
        </w:rPr>
        <w:t xml:space="preserve">its </w:t>
      </w:r>
      <w:r w:rsidRPr="00136986">
        <w:rPr>
          <w:sz w:val="24"/>
          <w:szCs w:val="24"/>
        </w:rPr>
        <w:t>reserves as the basis of a financial buffer to better manage unexpected risks</w:t>
      </w:r>
      <w:r w:rsidR="00136986" w:rsidRPr="00136986">
        <w:rPr>
          <w:sz w:val="24"/>
          <w:szCs w:val="24"/>
        </w:rPr>
        <w:t>.</w:t>
      </w:r>
      <w:r w:rsidR="00E6703C">
        <w:rPr>
          <w:sz w:val="24"/>
          <w:szCs w:val="24"/>
        </w:rPr>
        <w:t xml:space="preserve"> This cautious approach reflects the changing legislative requirements and operating environment. </w:t>
      </w:r>
    </w:p>
    <w:p w14:paraId="29F45DDB" w14:textId="77777777" w:rsidR="00136986" w:rsidRPr="003F0505" w:rsidRDefault="00136986" w:rsidP="003F0505">
      <w:pPr>
        <w:autoSpaceDE w:val="0"/>
        <w:autoSpaceDN w:val="0"/>
        <w:adjustRightInd w:val="0"/>
        <w:spacing w:after="120"/>
        <w:jc w:val="both"/>
        <w:rPr>
          <w:szCs w:val="24"/>
          <w:lang w:eastAsia="en-GB"/>
        </w:rPr>
      </w:pPr>
    </w:p>
    <w:p w14:paraId="1EC164AA" w14:textId="77777777" w:rsidR="009B7AEE" w:rsidRPr="00C26270" w:rsidRDefault="009B7AEE" w:rsidP="009B7AEE">
      <w:pPr>
        <w:autoSpaceDE w:val="0"/>
        <w:autoSpaceDN w:val="0"/>
        <w:adjustRightInd w:val="0"/>
        <w:spacing w:after="120"/>
        <w:jc w:val="both"/>
        <w:rPr>
          <w:szCs w:val="24"/>
          <w:lang w:eastAsia="en-GB"/>
        </w:rPr>
      </w:pPr>
      <w:r w:rsidRPr="00C26270">
        <w:rPr>
          <w:rFonts w:ascii="Arial" w:hAnsi="Arial" w:cs="Arial"/>
          <w:b/>
          <w:szCs w:val="24"/>
          <w:lang w:eastAsia="en-GB"/>
        </w:rPr>
        <w:t>Excess reserves</w:t>
      </w:r>
    </w:p>
    <w:p w14:paraId="7C3F99E2" w14:textId="77777777" w:rsidR="009B7AEE" w:rsidRPr="00C26270" w:rsidRDefault="009B7AEE" w:rsidP="009B7AEE">
      <w:pPr>
        <w:pStyle w:val="ListParagraph"/>
        <w:autoSpaceDE w:val="0"/>
        <w:autoSpaceDN w:val="0"/>
        <w:adjustRightInd w:val="0"/>
        <w:spacing w:after="120"/>
        <w:ind w:left="360"/>
        <w:jc w:val="both"/>
        <w:rPr>
          <w:sz w:val="24"/>
          <w:szCs w:val="24"/>
          <w:lang w:eastAsia="en-GB"/>
        </w:rPr>
      </w:pPr>
    </w:p>
    <w:p w14:paraId="2EFF61EC" w14:textId="03EA8C81" w:rsidR="009B7AEE" w:rsidRPr="00C26270" w:rsidRDefault="009B7AEE" w:rsidP="009B7AEE">
      <w:pPr>
        <w:pStyle w:val="ListParagraph"/>
        <w:numPr>
          <w:ilvl w:val="0"/>
          <w:numId w:val="30"/>
        </w:numPr>
        <w:autoSpaceDE w:val="0"/>
        <w:autoSpaceDN w:val="0"/>
        <w:adjustRightInd w:val="0"/>
        <w:spacing w:after="120"/>
        <w:jc w:val="both"/>
        <w:rPr>
          <w:sz w:val="24"/>
          <w:szCs w:val="24"/>
          <w:lang w:eastAsia="en-GB"/>
        </w:rPr>
      </w:pPr>
      <w:r w:rsidRPr="00C26270">
        <w:rPr>
          <w:sz w:val="24"/>
          <w:szCs w:val="24"/>
          <w:lang w:eastAsia="en-GB"/>
        </w:rPr>
        <w:t>The 20</w:t>
      </w:r>
      <w:r w:rsidR="00C26270" w:rsidRPr="00C26270">
        <w:rPr>
          <w:sz w:val="24"/>
          <w:szCs w:val="24"/>
          <w:lang w:eastAsia="en-GB"/>
        </w:rPr>
        <w:t>23/24 budget highlighted that £10.3</w:t>
      </w:r>
      <w:r w:rsidRPr="00C26270">
        <w:rPr>
          <w:sz w:val="24"/>
          <w:szCs w:val="24"/>
          <w:lang w:eastAsia="en-GB"/>
        </w:rPr>
        <w:t xml:space="preserve"> million was needed to manage risks. </w:t>
      </w:r>
      <w:r w:rsidR="00C26270" w:rsidRPr="00C26270">
        <w:rPr>
          <w:sz w:val="24"/>
          <w:szCs w:val="24"/>
          <w:lang w:eastAsia="en-GB"/>
        </w:rPr>
        <w:t>At the end of 2022/23</w:t>
      </w:r>
      <w:r w:rsidR="0022394C" w:rsidRPr="00C26270">
        <w:rPr>
          <w:sz w:val="24"/>
          <w:szCs w:val="24"/>
          <w:lang w:eastAsia="en-GB"/>
        </w:rPr>
        <w:t xml:space="preserve"> they totalled £1</w:t>
      </w:r>
      <w:r w:rsidR="00C26270" w:rsidRPr="00C26270">
        <w:rPr>
          <w:sz w:val="24"/>
          <w:szCs w:val="24"/>
          <w:lang w:eastAsia="en-GB"/>
        </w:rPr>
        <w:t>3</w:t>
      </w:r>
      <w:r w:rsidR="0022394C" w:rsidRPr="00C26270">
        <w:rPr>
          <w:sz w:val="24"/>
          <w:szCs w:val="24"/>
          <w:lang w:eastAsia="en-GB"/>
        </w:rPr>
        <w:t>.</w:t>
      </w:r>
      <w:r w:rsidR="00C26270" w:rsidRPr="00C26270">
        <w:rPr>
          <w:sz w:val="24"/>
          <w:szCs w:val="24"/>
          <w:lang w:eastAsia="en-GB"/>
        </w:rPr>
        <w:t>6</w:t>
      </w:r>
      <w:r w:rsidR="0022394C" w:rsidRPr="00C26270">
        <w:rPr>
          <w:sz w:val="24"/>
          <w:szCs w:val="24"/>
          <w:lang w:eastAsia="en-GB"/>
        </w:rPr>
        <w:t xml:space="preserve"> million. This means there are excess reserves of £</w:t>
      </w:r>
      <w:r w:rsidR="00C26270" w:rsidRPr="00C26270">
        <w:rPr>
          <w:sz w:val="24"/>
          <w:szCs w:val="24"/>
          <w:lang w:eastAsia="en-GB"/>
        </w:rPr>
        <w:t>3.3</w:t>
      </w:r>
      <w:r w:rsidR="0022394C" w:rsidRPr="00C26270">
        <w:rPr>
          <w:sz w:val="24"/>
          <w:szCs w:val="24"/>
          <w:lang w:eastAsia="en-GB"/>
        </w:rPr>
        <w:t xml:space="preserve"> million.</w:t>
      </w:r>
    </w:p>
    <w:p w14:paraId="165C6717" w14:textId="77777777" w:rsidR="00400B2A" w:rsidRPr="00C26270" w:rsidRDefault="00400B2A" w:rsidP="00400B2A">
      <w:pPr>
        <w:pStyle w:val="ListParagraph"/>
        <w:autoSpaceDE w:val="0"/>
        <w:autoSpaceDN w:val="0"/>
        <w:adjustRightInd w:val="0"/>
        <w:spacing w:after="120"/>
        <w:ind w:left="360"/>
        <w:jc w:val="both"/>
        <w:rPr>
          <w:sz w:val="24"/>
          <w:szCs w:val="24"/>
          <w:lang w:eastAsia="en-GB"/>
        </w:rPr>
      </w:pPr>
    </w:p>
    <w:p w14:paraId="71EB945A" w14:textId="0C17DCB9" w:rsidR="009B7AEE" w:rsidRDefault="009B7AEE" w:rsidP="009B7AEE">
      <w:pPr>
        <w:pStyle w:val="ListParagraph"/>
        <w:numPr>
          <w:ilvl w:val="0"/>
          <w:numId w:val="30"/>
        </w:numPr>
        <w:autoSpaceDE w:val="0"/>
        <w:autoSpaceDN w:val="0"/>
        <w:adjustRightInd w:val="0"/>
        <w:spacing w:after="120"/>
        <w:jc w:val="both"/>
        <w:rPr>
          <w:sz w:val="24"/>
          <w:szCs w:val="24"/>
          <w:lang w:eastAsia="en-GB"/>
        </w:rPr>
      </w:pPr>
      <w:r w:rsidRPr="00C26270">
        <w:rPr>
          <w:sz w:val="24"/>
          <w:szCs w:val="24"/>
          <w:lang w:eastAsia="en-GB"/>
        </w:rPr>
        <w:t>Therefore as</w:t>
      </w:r>
      <w:r w:rsidR="00C26270" w:rsidRPr="00C26270">
        <w:rPr>
          <w:sz w:val="24"/>
          <w:szCs w:val="24"/>
          <w:lang w:eastAsia="en-GB"/>
        </w:rPr>
        <w:t xml:space="preserve"> done annually,</w:t>
      </w:r>
      <w:r w:rsidRPr="00C26270">
        <w:rPr>
          <w:sz w:val="24"/>
          <w:szCs w:val="24"/>
          <w:lang w:eastAsia="en-GB"/>
        </w:rPr>
        <w:t xml:space="preserve"> the Authority will disburse back </w:t>
      </w:r>
      <w:r w:rsidR="00C26270" w:rsidRPr="00C26270">
        <w:rPr>
          <w:sz w:val="24"/>
          <w:szCs w:val="24"/>
          <w:lang w:eastAsia="en-GB"/>
        </w:rPr>
        <w:t>the excess reserve amount of £3.3 million to boroughs</w:t>
      </w:r>
      <w:r w:rsidRPr="00C26270">
        <w:rPr>
          <w:sz w:val="24"/>
          <w:szCs w:val="24"/>
          <w:lang w:eastAsia="en-GB"/>
        </w:rPr>
        <w:t>. Th</w:t>
      </w:r>
      <w:r w:rsidR="0022394C" w:rsidRPr="00C26270">
        <w:rPr>
          <w:sz w:val="24"/>
          <w:szCs w:val="24"/>
          <w:lang w:eastAsia="en-GB"/>
        </w:rPr>
        <w:t xml:space="preserve">is will be apportioned using the council tax base as in previous years and </w:t>
      </w:r>
      <w:r w:rsidRPr="00C26270">
        <w:rPr>
          <w:sz w:val="24"/>
          <w:szCs w:val="24"/>
          <w:lang w:eastAsia="en-GB"/>
        </w:rPr>
        <w:t xml:space="preserve">will appear as a rebate of levies in the </w:t>
      </w:r>
      <w:r w:rsidR="009346E3" w:rsidRPr="00C26270">
        <w:rPr>
          <w:sz w:val="24"/>
          <w:szCs w:val="24"/>
          <w:lang w:eastAsia="en-GB"/>
        </w:rPr>
        <w:t>202</w:t>
      </w:r>
      <w:r w:rsidR="00C26270" w:rsidRPr="00C26270">
        <w:rPr>
          <w:sz w:val="24"/>
          <w:szCs w:val="24"/>
          <w:lang w:eastAsia="en-GB"/>
        </w:rPr>
        <w:t>3</w:t>
      </w:r>
      <w:r w:rsidR="009346E3" w:rsidRPr="00C26270">
        <w:rPr>
          <w:sz w:val="24"/>
          <w:szCs w:val="24"/>
          <w:lang w:eastAsia="en-GB"/>
        </w:rPr>
        <w:t>/2</w:t>
      </w:r>
      <w:r w:rsidR="00C26270" w:rsidRPr="00C26270">
        <w:rPr>
          <w:sz w:val="24"/>
          <w:szCs w:val="24"/>
          <w:lang w:eastAsia="en-GB"/>
        </w:rPr>
        <w:t>4</w:t>
      </w:r>
      <w:r w:rsidRPr="00C26270">
        <w:rPr>
          <w:sz w:val="24"/>
          <w:szCs w:val="24"/>
          <w:lang w:eastAsia="en-GB"/>
        </w:rPr>
        <w:t xml:space="preserve"> budget monitoring reports and accounts. </w:t>
      </w:r>
      <w:r w:rsidR="00C1502C" w:rsidRPr="00C26270">
        <w:rPr>
          <w:sz w:val="24"/>
          <w:szCs w:val="24"/>
          <w:lang w:eastAsia="en-GB"/>
        </w:rPr>
        <w:t xml:space="preserve">Note that </w:t>
      </w:r>
      <w:r w:rsidRPr="00C26270">
        <w:rPr>
          <w:sz w:val="24"/>
          <w:szCs w:val="24"/>
          <w:lang w:eastAsia="en-GB"/>
        </w:rPr>
        <w:t>the Authority’s forecasts of spending and levies will show an under-recovery of £</w:t>
      </w:r>
      <w:r w:rsidR="0015533E" w:rsidRPr="00C26270">
        <w:rPr>
          <w:sz w:val="24"/>
          <w:szCs w:val="24"/>
          <w:lang w:eastAsia="en-GB"/>
        </w:rPr>
        <w:t>3</w:t>
      </w:r>
      <w:r w:rsidR="009346E3" w:rsidRPr="00C26270">
        <w:rPr>
          <w:sz w:val="24"/>
          <w:szCs w:val="24"/>
          <w:lang w:eastAsia="en-GB"/>
        </w:rPr>
        <w:t>.</w:t>
      </w:r>
      <w:r w:rsidR="00C26270" w:rsidRPr="00C26270">
        <w:rPr>
          <w:sz w:val="24"/>
          <w:szCs w:val="24"/>
          <w:lang w:eastAsia="en-GB"/>
        </w:rPr>
        <w:t>3</w:t>
      </w:r>
      <w:r w:rsidR="00E35AEF" w:rsidRPr="00C26270">
        <w:rPr>
          <w:sz w:val="24"/>
          <w:szCs w:val="24"/>
          <w:lang w:eastAsia="en-GB"/>
        </w:rPr>
        <w:t xml:space="preserve"> </w:t>
      </w:r>
      <w:r w:rsidRPr="00C26270">
        <w:rPr>
          <w:sz w:val="24"/>
          <w:szCs w:val="24"/>
          <w:lang w:eastAsia="en-GB"/>
        </w:rPr>
        <w:t xml:space="preserve">million </w:t>
      </w:r>
      <w:r w:rsidR="00C1502C" w:rsidRPr="00C26270">
        <w:rPr>
          <w:sz w:val="24"/>
          <w:szCs w:val="24"/>
          <w:lang w:eastAsia="en-GB"/>
        </w:rPr>
        <w:t>in 202</w:t>
      </w:r>
      <w:r w:rsidR="00C26270" w:rsidRPr="00C26270">
        <w:rPr>
          <w:sz w:val="24"/>
          <w:szCs w:val="24"/>
          <w:lang w:eastAsia="en-GB"/>
        </w:rPr>
        <w:t>3/24</w:t>
      </w:r>
      <w:r w:rsidR="00C1502C" w:rsidRPr="00C26270">
        <w:rPr>
          <w:sz w:val="24"/>
          <w:szCs w:val="24"/>
          <w:lang w:eastAsia="en-GB"/>
        </w:rPr>
        <w:t xml:space="preserve"> to reflect this disbursement. </w:t>
      </w:r>
    </w:p>
    <w:p w14:paraId="38E0A4EE" w14:textId="77777777" w:rsidR="000C784C" w:rsidRPr="002A7112" w:rsidRDefault="000C784C" w:rsidP="002A7112">
      <w:pPr>
        <w:pStyle w:val="ListParagraph"/>
        <w:rPr>
          <w:sz w:val="24"/>
          <w:szCs w:val="24"/>
          <w:lang w:eastAsia="en-GB"/>
        </w:rPr>
      </w:pPr>
    </w:p>
    <w:p w14:paraId="0A7B57B6" w14:textId="07DFCE84" w:rsidR="000C784C" w:rsidRPr="002A7112" w:rsidRDefault="000C784C" w:rsidP="002A7112">
      <w:pPr>
        <w:autoSpaceDE w:val="0"/>
        <w:autoSpaceDN w:val="0"/>
        <w:adjustRightInd w:val="0"/>
        <w:spacing w:after="120"/>
        <w:jc w:val="both"/>
        <w:rPr>
          <w:b/>
          <w:szCs w:val="24"/>
          <w:lang w:eastAsia="en-GB"/>
        </w:rPr>
      </w:pPr>
      <w:r w:rsidRPr="002A7112">
        <w:rPr>
          <w:rFonts w:ascii="Arial" w:hAnsi="Arial" w:cs="Arial"/>
          <w:b/>
          <w:szCs w:val="24"/>
          <w:lang w:eastAsia="en-GB"/>
        </w:rPr>
        <w:t xml:space="preserve">Disbursement to </w:t>
      </w:r>
      <w:r>
        <w:rPr>
          <w:rFonts w:ascii="Arial" w:hAnsi="Arial" w:cs="Arial"/>
          <w:b/>
          <w:szCs w:val="24"/>
          <w:lang w:eastAsia="en-GB"/>
        </w:rPr>
        <w:t>boroughs</w:t>
      </w:r>
    </w:p>
    <w:p w14:paraId="009C27F3" w14:textId="12411A05" w:rsidR="000C784C" w:rsidRDefault="000C784C" w:rsidP="002A7112">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 boroughs share of PPP income plus the excess reserves will be paid to boroughs </w:t>
      </w:r>
      <w:r w:rsidR="003F6D79">
        <w:rPr>
          <w:sz w:val="24"/>
          <w:szCs w:val="24"/>
          <w:lang w:eastAsia="en-GB"/>
        </w:rPr>
        <w:t xml:space="preserve">by the end of </w:t>
      </w:r>
      <w:r>
        <w:rPr>
          <w:sz w:val="24"/>
          <w:szCs w:val="24"/>
          <w:lang w:eastAsia="en-GB"/>
        </w:rPr>
        <w:t>July following receipt of sums from the contractor. The table below provides a breakdown of the payments.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022"/>
        <w:gridCol w:w="2022"/>
        <w:gridCol w:w="2022"/>
        <w:gridCol w:w="2023"/>
      </w:tblGrid>
      <w:tr w:rsidR="000C784C" w:rsidRPr="0050439A" w14:paraId="442012AF" w14:textId="77777777" w:rsidTr="00A52741">
        <w:tc>
          <w:tcPr>
            <w:tcW w:w="1692" w:type="dxa"/>
            <w:shd w:val="clear" w:color="auto" w:fill="auto"/>
          </w:tcPr>
          <w:p w14:paraId="42F71807" w14:textId="77777777" w:rsidR="000C784C" w:rsidRPr="0050439A" w:rsidRDefault="000C784C" w:rsidP="00A52741">
            <w:pPr>
              <w:keepNext/>
              <w:autoSpaceDE w:val="0"/>
              <w:autoSpaceDN w:val="0"/>
              <w:adjustRightInd w:val="0"/>
              <w:rPr>
                <w:rFonts w:ascii="Arial" w:hAnsi="Arial" w:cs="Arial"/>
                <w:b/>
                <w:szCs w:val="24"/>
                <w:lang w:eastAsia="en-GB"/>
              </w:rPr>
            </w:pPr>
            <w:r w:rsidRPr="0050439A">
              <w:rPr>
                <w:rFonts w:ascii="Arial" w:hAnsi="Arial" w:cs="Arial"/>
                <w:b/>
                <w:szCs w:val="24"/>
                <w:lang w:eastAsia="en-GB"/>
              </w:rPr>
              <w:t>Borough</w:t>
            </w:r>
          </w:p>
        </w:tc>
        <w:tc>
          <w:tcPr>
            <w:tcW w:w="2022" w:type="dxa"/>
            <w:shd w:val="clear" w:color="auto" w:fill="auto"/>
          </w:tcPr>
          <w:p w14:paraId="1C619B8A" w14:textId="77777777" w:rsidR="000C784C" w:rsidRPr="0050439A" w:rsidRDefault="000C784C" w:rsidP="00A52741">
            <w:pPr>
              <w:keepNext/>
              <w:autoSpaceDE w:val="0"/>
              <w:autoSpaceDN w:val="0"/>
              <w:adjustRightInd w:val="0"/>
              <w:jc w:val="right"/>
              <w:rPr>
                <w:rFonts w:ascii="Arial" w:hAnsi="Arial" w:cs="Arial"/>
                <w:b/>
                <w:szCs w:val="24"/>
                <w:lang w:eastAsia="en-GB"/>
              </w:rPr>
            </w:pPr>
            <w:r w:rsidRPr="0050439A">
              <w:rPr>
                <w:rFonts w:ascii="Arial" w:hAnsi="Arial" w:cs="Arial"/>
                <w:b/>
                <w:szCs w:val="24"/>
                <w:lang w:eastAsia="en-GB"/>
              </w:rPr>
              <w:t>Approved Council Tax Base</w:t>
            </w:r>
          </w:p>
        </w:tc>
        <w:tc>
          <w:tcPr>
            <w:tcW w:w="2022" w:type="dxa"/>
            <w:shd w:val="clear" w:color="auto" w:fill="auto"/>
          </w:tcPr>
          <w:p w14:paraId="6798AC30" w14:textId="16EE6385" w:rsidR="000C784C" w:rsidRPr="0050439A" w:rsidRDefault="000C784C" w:rsidP="003F6D79">
            <w:pPr>
              <w:keepNext/>
              <w:autoSpaceDE w:val="0"/>
              <w:autoSpaceDN w:val="0"/>
              <w:adjustRightInd w:val="0"/>
              <w:jc w:val="right"/>
              <w:rPr>
                <w:rFonts w:ascii="Arial" w:hAnsi="Arial" w:cs="Arial"/>
                <w:b/>
                <w:szCs w:val="24"/>
                <w:lang w:eastAsia="en-GB"/>
              </w:rPr>
            </w:pPr>
            <w:r>
              <w:rPr>
                <w:rFonts w:ascii="Arial" w:hAnsi="Arial" w:cs="Arial"/>
                <w:b/>
                <w:szCs w:val="24"/>
                <w:lang w:eastAsia="en-GB"/>
              </w:rPr>
              <w:t xml:space="preserve">PPP </w:t>
            </w:r>
            <w:r w:rsidRPr="0050439A">
              <w:rPr>
                <w:rFonts w:ascii="Arial" w:hAnsi="Arial" w:cs="Arial"/>
                <w:b/>
                <w:szCs w:val="24"/>
                <w:lang w:eastAsia="en-GB"/>
              </w:rPr>
              <w:t>Income (£000s)</w:t>
            </w:r>
          </w:p>
        </w:tc>
        <w:tc>
          <w:tcPr>
            <w:tcW w:w="2022" w:type="dxa"/>
            <w:shd w:val="clear" w:color="auto" w:fill="auto"/>
          </w:tcPr>
          <w:p w14:paraId="671289F9" w14:textId="3F97C002" w:rsidR="000C784C" w:rsidRPr="0050439A" w:rsidRDefault="000C784C">
            <w:pPr>
              <w:keepNext/>
              <w:autoSpaceDE w:val="0"/>
              <w:autoSpaceDN w:val="0"/>
              <w:adjustRightInd w:val="0"/>
              <w:jc w:val="right"/>
              <w:rPr>
                <w:rFonts w:ascii="Arial" w:hAnsi="Arial" w:cs="Arial"/>
                <w:b/>
                <w:szCs w:val="24"/>
                <w:lang w:eastAsia="en-GB"/>
              </w:rPr>
            </w:pPr>
            <w:r w:rsidRPr="0050439A">
              <w:rPr>
                <w:rFonts w:ascii="Arial" w:hAnsi="Arial" w:cs="Arial"/>
                <w:b/>
                <w:szCs w:val="24"/>
                <w:lang w:eastAsia="en-GB"/>
              </w:rPr>
              <w:t>Excess Reserves</w:t>
            </w:r>
            <w:r>
              <w:rPr>
                <w:rFonts w:ascii="Arial" w:hAnsi="Arial" w:cs="Arial"/>
                <w:b/>
                <w:szCs w:val="24"/>
                <w:lang w:eastAsia="en-GB"/>
              </w:rPr>
              <w:t xml:space="preserve"> at end of 2022/23</w:t>
            </w:r>
            <w:r w:rsidRPr="0050439A">
              <w:rPr>
                <w:rFonts w:ascii="Arial" w:hAnsi="Arial" w:cs="Arial"/>
                <w:b/>
                <w:szCs w:val="24"/>
                <w:lang w:eastAsia="en-GB"/>
              </w:rPr>
              <w:t xml:space="preserve"> (£000s)</w:t>
            </w:r>
          </w:p>
        </w:tc>
        <w:tc>
          <w:tcPr>
            <w:tcW w:w="2023" w:type="dxa"/>
            <w:shd w:val="clear" w:color="auto" w:fill="auto"/>
          </w:tcPr>
          <w:p w14:paraId="4D43FBCF" w14:textId="2CE4D325" w:rsidR="000C784C" w:rsidRPr="0050439A" w:rsidRDefault="000C784C">
            <w:pPr>
              <w:keepNext/>
              <w:autoSpaceDE w:val="0"/>
              <w:autoSpaceDN w:val="0"/>
              <w:adjustRightInd w:val="0"/>
              <w:jc w:val="right"/>
              <w:rPr>
                <w:rFonts w:ascii="Arial" w:hAnsi="Arial" w:cs="Arial"/>
                <w:b/>
                <w:szCs w:val="24"/>
                <w:lang w:eastAsia="en-GB"/>
              </w:rPr>
            </w:pPr>
            <w:r w:rsidRPr="0050439A">
              <w:rPr>
                <w:rFonts w:ascii="Arial" w:hAnsi="Arial" w:cs="Arial"/>
                <w:b/>
                <w:szCs w:val="24"/>
                <w:lang w:eastAsia="en-GB"/>
              </w:rPr>
              <w:t>Total</w:t>
            </w:r>
            <w:r w:rsidR="003F6D79">
              <w:rPr>
                <w:rFonts w:ascii="Arial" w:hAnsi="Arial" w:cs="Arial"/>
                <w:b/>
                <w:szCs w:val="24"/>
                <w:lang w:eastAsia="en-GB"/>
              </w:rPr>
              <w:t xml:space="preserve"> payments to boroughs</w:t>
            </w:r>
            <w:r w:rsidRPr="0050439A">
              <w:rPr>
                <w:rFonts w:ascii="Arial" w:hAnsi="Arial" w:cs="Arial"/>
                <w:b/>
                <w:szCs w:val="24"/>
                <w:lang w:eastAsia="en-GB"/>
              </w:rPr>
              <w:t xml:space="preserve"> (£000s)</w:t>
            </w:r>
          </w:p>
        </w:tc>
      </w:tr>
      <w:tr w:rsidR="000C784C" w:rsidRPr="0050439A" w14:paraId="709510CC" w14:textId="77777777" w:rsidTr="00A52741">
        <w:tc>
          <w:tcPr>
            <w:tcW w:w="1692" w:type="dxa"/>
            <w:shd w:val="clear" w:color="auto" w:fill="auto"/>
          </w:tcPr>
          <w:p w14:paraId="1D799F4A"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Brent</w:t>
            </w:r>
          </w:p>
        </w:tc>
        <w:tc>
          <w:tcPr>
            <w:tcW w:w="2022" w:type="dxa"/>
            <w:shd w:val="clear" w:color="auto" w:fill="auto"/>
          </w:tcPr>
          <w:p w14:paraId="5DE099F2" w14:textId="2AD27802"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101,187</w:t>
            </w:r>
          </w:p>
        </w:tc>
        <w:tc>
          <w:tcPr>
            <w:tcW w:w="2022" w:type="dxa"/>
            <w:shd w:val="clear" w:color="auto" w:fill="auto"/>
          </w:tcPr>
          <w:p w14:paraId="0C7EBE5F" w14:textId="404AB647"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2,163</w:t>
            </w:r>
          </w:p>
        </w:tc>
        <w:tc>
          <w:tcPr>
            <w:tcW w:w="2022" w:type="dxa"/>
            <w:shd w:val="clear" w:color="auto" w:fill="auto"/>
          </w:tcPr>
          <w:p w14:paraId="7559F3BD" w14:textId="524E966F"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562</w:t>
            </w:r>
          </w:p>
        </w:tc>
        <w:tc>
          <w:tcPr>
            <w:tcW w:w="2023" w:type="dxa"/>
            <w:shd w:val="clear" w:color="auto" w:fill="auto"/>
          </w:tcPr>
          <w:p w14:paraId="16E88077" w14:textId="39C3D972"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2,725</w:t>
            </w:r>
          </w:p>
        </w:tc>
      </w:tr>
      <w:tr w:rsidR="000C784C" w:rsidRPr="0050439A" w14:paraId="7D7FB156" w14:textId="77777777" w:rsidTr="00A52741">
        <w:tc>
          <w:tcPr>
            <w:tcW w:w="1692" w:type="dxa"/>
            <w:shd w:val="clear" w:color="auto" w:fill="auto"/>
          </w:tcPr>
          <w:p w14:paraId="21B24B76"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Ealing</w:t>
            </w:r>
          </w:p>
        </w:tc>
        <w:tc>
          <w:tcPr>
            <w:tcW w:w="2022" w:type="dxa"/>
            <w:shd w:val="clear" w:color="auto" w:fill="auto"/>
          </w:tcPr>
          <w:p w14:paraId="5005B054" w14:textId="27993756"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121,613</w:t>
            </w:r>
          </w:p>
        </w:tc>
        <w:tc>
          <w:tcPr>
            <w:tcW w:w="2022" w:type="dxa"/>
            <w:shd w:val="clear" w:color="auto" w:fill="auto"/>
          </w:tcPr>
          <w:p w14:paraId="054A64C8" w14:textId="2A766B8D"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2,600</w:t>
            </w:r>
          </w:p>
        </w:tc>
        <w:tc>
          <w:tcPr>
            <w:tcW w:w="2022" w:type="dxa"/>
            <w:shd w:val="clear" w:color="auto" w:fill="auto"/>
          </w:tcPr>
          <w:p w14:paraId="1208ED1A" w14:textId="6ADC46A2"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676</w:t>
            </w:r>
          </w:p>
        </w:tc>
        <w:tc>
          <w:tcPr>
            <w:tcW w:w="2023" w:type="dxa"/>
            <w:shd w:val="clear" w:color="auto" w:fill="auto"/>
          </w:tcPr>
          <w:p w14:paraId="7B7CCADE" w14:textId="33607531"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3,275</w:t>
            </w:r>
          </w:p>
        </w:tc>
      </w:tr>
      <w:tr w:rsidR="000C784C" w:rsidRPr="0050439A" w14:paraId="2A80834E" w14:textId="77777777" w:rsidTr="00A52741">
        <w:tc>
          <w:tcPr>
            <w:tcW w:w="1692" w:type="dxa"/>
            <w:shd w:val="clear" w:color="auto" w:fill="auto"/>
          </w:tcPr>
          <w:p w14:paraId="26C338D7"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Harrow</w:t>
            </w:r>
          </w:p>
        </w:tc>
        <w:tc>
          <w:tcPr>
            <w:tcW w:w="2022" w:type="dxa"/>
            <w:shd w:val="clear" w:color="auto" w:fill="auto"/>
          </w:tcPr>
          <w:p w14:paraId="2A6848AE" w14:textId="2D72965C"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89,085</w:t>
            </w:r>
          </w:p>
        </w:tc>
        <w:tc>
          <w:tcPr>
            <w:tcW w:w="2022" w:type="dxa"/>
            <w:shd w:val="clear" w:color="auto" w:fill="auto"/>
          </w:tcPr>
          <w:p w14:paraId="7DB8F401" w14:textId="10FF1E83"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1,904</w:t>
            </w:r>
          </w:p>
        </w:tc>
        <w:tc>
          <w:tcPr>
            <w:tcW w:w="2022" w:type="dxa"/>
            <w:shd w:val="clear" w:color="auto" w:fill="auto"/>
          </w:tcPr>
          <w:p w14:paraId="3B75BE6E" w14:textId="29526575"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495</w:t>
            </w:r>
          </w:p>
        </w:tc>
        <w:tc>
          <w:tcPr>
            <w:tcW w:w="2023" w:type="dxa"/>
            <w:shd w:val="clear" w:color="auto" w:fill="auto"/>
          </w:tcPr>
          <w:p w14:paraId="2F174360" w14:textId="5063F937"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2,399</w:t>
            </w:r>
          </w:p>
        </w:tc>
      </w:tr>
      <w:tr w:rsidR="000C784C" w:rsidRPr="0050439A" w14:paraId="11B8C34B" w14:textId="77777777" w:rsidTr="00A52741">
        <w:tc>
          <w:tcPr>
            <w:tcW w:w="1692" w:type="dxa"/>
            <w:shd w:val="clear" w:color="auto" w:fill="auto"/>
          </w:tcPr>
          <w:p w14:paraId="1F3A217A"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Hillingdon</w:t>
            </w:r>
          </w:p>
        </w:tc>
        <w:tc>
          <w:tcPr>
            <w:tcW w:w="2022" w:type="dxa"/>
            <w:shd w:val="clear" w:color="auto" w:fill="auto"/>
          </w:tcPr>
          <w:p w14:paraId="14230C81" w14:textId="63803E7C"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103,625</w:t>
            </w:r>
          </w:p>
        </w:tc>
        <w:tc>
          <w:tcPr>
            <w:tcW w:w="2022" w:type="dxa"/>
            <w:shd w:val="clear" w:color="auto" w:fill="auto"/>
          </w:tcPr>
          <w:p w14:paraId="1FA379C5" w14:textId="5A13B792"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2,215</w:t>
            </w:r>
          </w:p>
        </w:tc>
        <w:tc>
          <w:tcPr>
            <w:tcW w:w="2022" w:type="dxa"/>
            <w:shd w:val="clear" w:color="auto" w:fill="auto"/>
          </w:tcPr>
          <w:p w14:paraId="5D834A4A" w14:textId="3D97763C"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576</w:t>
            </w:r>
          </w:p>
        </w:tc>
        <w:tc>
          <w:tcPr>
            <w:tcW w:w="2023" w:type="dxa"/>
            <w:shd w:val="clear" w:color="auto" w:fill="auto"/>
          </w:tcPr>
          <w:p w14:paraId="10C5DCEA" w14:textId="09B4C561"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2,791</w:t>
            </w:r>
          </w:p>
        </w:tc>
      </w:tr>
      <w:tr w:rsidR="000C784C" w:rsidRPr="0050439A" w14:paraId="240B2ADE" w14:textId="77777777" w:rsidTr="00A52741">
        <w:tc>
          <w:tcPr>
            <w:tcW w:w="1692" w:type="dxa"/>
            <w:shd w:val="clear" w:color="auto" w:fill="auto"/>
          </w:tcPr>
          <w:p w14:paraId="7828D641"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Hounslow</w:t>
            </w:r>
          </w:p>
        </w:tc>
        <w:tc>
          <w:tcPr>
            <w:tcW w:w="2022" w:type="dxa"/>
            <w:shd w:val="clear" w:color="auto" w:fill="auto"/>
          </w:tcPr>
          <w:p w14:paraId="51B07CCA" w14:textId="0A01B73B"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89,309</w:t>
            </w:r>
          </w:p>
        </w:tc>
        <w:tc>
          <w:tcPr>
            <w:tcW w:w="2022" w:type="dxa"/>
            <w:shd w:val="clear" w:color="auto" w:fill="auto"/>
          </w:tcPr>
          <w:p w14:paraId="7AB030EA" w14:textId="6195DEF4"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1,909</w:t>
            </w:r>
          </w:p>
        </w:tc>
        <w:tc>
          <w:tcPr>
            <w:tcW w:w="2022" w:type="dxa"/>
            <w:shd w:val="clear" w:color="auto" w:fill="auto"/>
          </w:tcPr>
          <w:p w14:paraId="5451718D" w14:textId="57414A48"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496</w:t>
            </w:r>
          </w:p>
        </w:tc>
        <w:tc>
          <w:tcPr>
            <w:tcW w:w="2023" w:type="dxa"/>
            <w:shd w:val="clear" w:color="auto" w:fill="auto"/>
          </w:tcPr>
          <w:p w14:paraId="537E0178" w14:textId="68E6611E"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2,405</w:t>
            </w:r>
          </w:p>
        </w:tc>
      </w:tr>
      <w:tr w:rsidR="000C784C" w:rsidRPr="0050439A" w14:paraId="6260557C" w14:textId="77777777" w:rsidTr="00A52741">
        <w:tc>
          <w:tcPr>
            <w:tcW w:w="1692" w:type="dxa"/>
            <w:shd w:val="clear" w:color="auto" w:fill="auto"/>
          </w:tcPr>
          <w:p w14:paraId="5B784B0E" w14:textId="77777777" w:rsidR="000C784C" w:rsidRPr="0050439A" w:rsidRDefault="000C784C" w:rsidP="00A52741">
            <w:pPr>
              <w:keepNext/>
              <w:autoSpaceDE w:val="0"/>
              <w:autoSpaceDN w:val="0"/>
              <w:adjustRightInd w:val="0"/>
              <w:rPr>
                <w:rFonts w:ascii="Arial" w:hAnsi="Arial" w:cs="Arial"/>
                <w:szCs w:val="24"/>
                <w:lang w:eastAsia="en-GB"/>
              </w:rPr>
            </w:pPr>
            <w:r w:rsidRPr="0050439A">
              <w:rPr>
                <w:rFonts w:ascii="Arial" w:hAnsi="Arial" w:cs="Arial"/>
                <w:szCs w:val="24"/>
                <w:lang w:eastAsia="en-GB"/>
              </w:rPr>
              <w:t>Richmond</w:t>
            </w:r>
          </w:p>
        </w:tc>
        <w:tc>
          <w:tcPr>
            <w:tcW w:w="2022" w:type="dxa"/>
            <w:shd w:val="clear" w:color="auto" w:fill="auto"/>
          </w:tcPr>
          <w:p w14:paraId="30E45212" w14:textId="659696D9"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89,289</w:t>
            </w:r>
          </w:p>
        </w:tc>
        <w:tc>
          <w:tcPr>
            <w:tcW w:w="2022" w:type="dxa"/>
            <w:shd w:val="clear" w:color="auto" w:fill="auto"/>
          </w:tcPr>
          <w:p w14:paraId="422D4B4A" w14:textId="1D8E4518"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1,909</w:t>
            </w:r>
          </w:p>
        </w:tc>
        <w:tc>
          <w:tcPr>
            <w:tcW w:w="2022" w:type="dxa"/>
            <w:shd w:val="clear" w:color="auto" w:fill="auto"/>
          </w:tcPr>
          <w:p w14:paraId="5EAE2C0C" w14:textId="44FCDEBF" w:rsidR="000C784C" w:rsidRPr="0050439A" w:rsidRDefault="003F6D79" w:rsidP="00A52741">
            <w:pPr>
              <w:keepNext/>
              <w:autoSpaceDE w:val="0"/>
              <w:autoSpaceDN w:val="0"/>
              <w:adjustRightInd w:val="0"/>
              <w:jc w:val="right"/>
              <w:rPr>
                <w:rFonts w:ascii="Arial" w:hAnsi="Arial" w:cs="Arial"/>
                <w:szCs w:val="24"/>
                <w:lang w:eastAsia="en-GB"/>
              </w:rPr>
            </w:pPr>
            <w:r>
              <w:rPr>
                <w:rFonts w:ascii="Arial" w:hAnsi="Arial" w:cs="Arial"/>
                <w:szCs w:val="24"/>
                <w:lang w:eastAsia="en-GB"/>
              </w:rPr>
              <w:t>496</w:t>
            </w:r>
          </w:p>
        </w:tc>
        <w:tc>
          <w:tcPr>
            <w:tcW w:w="2023" w:type="dxa"/>
            <w:shd w:val="clear" w:color="auto" w:fill="auto"/>
          </w:tcPr>
          <w:p w14:paraId="5ADCC437" w14:textId="4182D870"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2,405</w:t>
            </w:r>
          </w:p>
        </w:tc>
      </w:tr>
      <w:tr w:rsidR="000C784C" w:rsidRPr="0050439A" w14:paraId="4663E3AE" w14:textId="77777777" w:rsidTr="00A52741">
        <w:tc>
          <w:tcPr>
            <w:tcW w:w="1692" w:type="dxa"/>
            <w:shd w:val="clear" w:color="auto" w:fill="auto"/>
          </w:tcPr>
          <w:p w14:paraId="24BC5848" w14:textId="77777777" w:rsidR="000C784C" w:rsidRPr="0050439A" w:rsidRDefault="000C784C" w:rsidP="00A52741">
            <w:pPr>
              <w:keepNext/>
              <w:autoSpaceDE w:val="0"/>
              <w:autoSpaceDN w:val="0"/>
              <w:adjustRightInd w:val="0"/>
              <w:rPr>
                <w:rFonts w:ascii="Arial" w:hAnsi="Arial" w:cs="Arial"/>
                <w:b/>
                <w:szCs w:val="24"/>
                <w:lang w:eastAsia="en-GB"/>
              </w:rPr>
            </w:pPr>
            <w:r w:rsidRPr="0050439A">
              <w:rPr>
                <w:rFonts w:ascii="Arial" w:hAnsi="Arial" w:cs="Arial"/>
                <w:b/>
                <w:szCs w:val="24"/>
                <w:lang w:eastAsia="en-GB"/>
              </w:rPr>
              <w:t>Total</w:t>
            </w:r>
          </w:p>
        </w:tc>
        <w:tc>
          <w:tcPr>
            <w:tcW w:w="2022" w:type="dxa"/>
            <w:shd w:val="clear" w:color="auto" w:fill="auto"/>
          </w:tcPr>
          <w:p w14:paraId="68937AA6" w14:textId="0A18282D"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594,108</w:t>
            </w:r>
          </w:p>
        </w:tc>
        <w:tc>
          <w:tcPr>
            <w:tcW w:w="2022" w:type="dxa"/>
            <w:shd w:val="clear" w:color="auto" w:fill="auto"/>
          </w:tcPr>
          <w:p w14:paraId="7CD530DB" w14:textId="7E9A7132"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12,700</w:t>
            </w:r>
          </w:p>
        </w:tc>
        <w:tc>
          <w:tcPr>
            <w:tcW w:w="2022" w:type="dxa"/>
            <w:shd w:val="clear" w:color="auto" w:fill="auto"/>
          </w:tcPr>
          <w:p w14:paraId="19C039BF" w14:textId="0D45B01D"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3,300</w:t>
            </w:r>
          </w:p>
        </w:tc>
        <w:tc>
          <w:tcPr>
            <w:tcW w:w="2023" w:type="dxa"/>
            <w:shd w:val="clear" w:color="auto" w:fill="auto"/>
          </w:tcPr>
          <w:p w14:paraId="7E741559" w14:textId="21296AC8" w:rsidR="000C784C" w:rsidRPr="0050439A" w:rsidRDefault="003F6D79" w:rsidP="00A52741">
            <w:pPr>
              <w:keepNext/>
              <w:autoSpaceDE w:val="0"/>
              <w:autoSpaceDN w:val="0"/>
              <w:adjustRightInd w:val="0"/>
              <w:jc w:val="right"/>
              <w:rPr>
                <w:rFonts w:ascii="Arial" w:hAnsi="Arial" w:cs="Arial"/>
                <w:b/>
                <w:szCs w:val="24"/>
                <w:lang w:eastAsia="en-GB"/>
              </w:rPr>
            </w:pPr>
            <w:r>
              <w:rPr>
                <w:rFonts w:ascii="Arial" w:hAnsi="Arial" w:cs="Arial"/>
                <w:b/>
                <w:szCs w:val="24"/>
                <w:lang w:eastAsia="en-GB"/>
              </w:rPr>
              <w:t>16,000</w:t>
            </w:r>
          </w:p>
        </w:tc>
      </w:tr>
    </w:tbl>
    <w:p w14:paraId="5494A67E" w14:textId="77777777" w:rsidR="000C784C" w:rsidRPr="00C26270" w:rsidRDefault="000C784C" w:rsidP="002A7112">
      <w:pPr>
        <w:pStyle w:val="ListParagraph"/>
        <w:autoSpaceDE w:val="0"/>
        <w:autoSpaceDN w:val="0"/>
        <w:adjustRightInd w:val="0"/>
        <w:spacing w:after="120"/>
        <w:ind w:left="360"/>
        <w:jc w:val="both"/>
        <w:rPr>
          <w:sz w:val="24"/>
          <w:szCs w:val="24"/>
          <w:lang w:eastAsia="en-GB"/>
        </w:rPr>
      </w:pPr>
    </w:p>
    <w:p w14:paraId="75A726F8" w14:textId="77777777" w:rsidR="005C1D41" w:rsidRDefault="005C1D41" w:rsidP="005C1D41">
      <w:pPr>
        <w:pStyle w:val="ListParagraph"/>
        <w:autoSpaceDE w:val="0"/>
        <w:autoSpaceDN w:val="0"/>
        <w:adjustRightInd w:val="0"/>
        <w:spacing w:after="120"/>
        <w:ind w:left="360"/>
        <w:jc w:val="both"/>
        <w:rPr>
          <w:sz w:val="24"/>
          <w:szCs w:val="24"/>
          <w:lang w:eastAsia="en-GB"/>
        </w:rPr>
      </w:pPr>
    </w:p>
    <w:p w14:paraId="288EF60D" w14:textId="77777777" w:rsidR="00B27C91" w:rsidRPr="006B7B35" w:rsidRDefault="00EF489A" w:rsidP="006B7B35">
      <w:pPr>
        <w:autoSpaceDE w:val="0"/>
        <w:autoSpaceDN w:val="0"/>
        <w:adjustRightInd w:val="0"/>
        <w:spacing w:after="120"/>
        <w:jc w:val="both"/>
        <w:rPr>
          <w:rFonts w:ascii="Arial" w:hAnsi="Arial" w:cs="Arial"/>
          <w:b/>
          <w:szCs w:val="24"/>
          <w:lang w:eastAsia="en-GB"/>
        </w:rPr>
      </w:pPr>
      <w:r w:rsidRPr="00EF489A">
        <w:rPr>
          <w:rFonts w:ascii="Arial" w:hAnsi="Arial" w:cs="Arial"/>
          <w:b/>
          <w:szCs w:val="24"/>
          <w:lang w:eastAsia="en-GB"/>
        </w:rPr>
        <w:t xml:space="preserve">Year-end </w:t>
      </w:r>
      <w:r w:rsidR="00603F44">
        <w:rPr>
          <w:rFonts w:ascii="Arial" w:hAnsi="Arial" w:cs="Arial"/>
          <w:b/>
          <w:szCs w:val="24"/>
          <w:lang w:eastAsia="en-GB"/>
        </w:rPr>
        <w:t>valuation</w:t>
      </w:r>
      <w:r w:rsidR="00886286">
        <w:rPr>
          <w:rFonts w:ascii="Arial" w:hAnsi="Arial" w:cs="Arial"/>
          <w:b/>
          <w:szCs w:val="24"/>
          <w:lang w:eastAsia="en-GB"/>
        </w:rPr>
        <w:t>s</w:t>
      </w:r>
    </w:p>
    <w:p w14:paraId="0F82113D" w14:textId="5344584E" w:rsidR="009D391A" w:rsidRPr="006B7B35" w:rsidRDefault="00CE30EF" w:rsidP="00715DFB">
      <w:pPr>
        <w:pStyle w:val="ListParagraph"/>
        <w:numPr>
          <w:ilvl w:val="0"/>
          <w:numId w:val="30"/>
        </w:numPr>
        <w:autoSpaceDE w:val="0"/>
        <w:autoSpaceDN w:val="0"/>
        <w:adjustRightInd w:val="0"/>
        <w:spacing w:after="120"/>
        <w:jc w:val="both"/>
        <w:rPr>
          <w:sz w:val="24"/>
          <w:szCs w:val="24"/>
          <w:lang w:eastAsia="en-GB"/>
        </w:rPr>
      </w:pPr>
      <w:r w:rsidRPr="006B7B35">
        <w:rPr>
          <w:sz w:val="24"/>
          <w:szCs w:val="24"/>
          <w:lang w:eastAsia="en-GB"/>
        </w:rPr>
        <w:t xml:space="preserve">The </w:t>
      </w:r>
      <w:r w:rsidR="00A547C9" w:rsidRPr="006B7B35">
        <w:rPr>
          <w:sz w:val="24"/>
          <w:szCs w:val="24"/>
          <w:lang w:eastAsia="en-GB"/>
        </w:rPr>
        <w:t xml:space="preserve">latest </w:t>
      </w:r>
      <w:r w:rsidRPr="006B7B35">
        <w:rPr>
          <w:sz w:val="24"/>
          <w:szCs w:val="24"/>
          <w:lang w:eastAsia="en-GB"/>
        </w:rPr>
        <w:t xml:space="preserve">pension valuation by the </w:t>
      </w:r>
      <w:r w:rsidR="002B0227" w:rsidRPr="006B7B35">
        <w:rPr>
          <w:sz w:val="24"/>
          <w:szCs w:val="24"/>
          <w:lang w:eastAsia="en-GB"/>
        </w:rPr>
        <w:t>LPFA</w:t>
      </w:r>
      <w:r w:rsidR="008E5D5D" w:rsidRPr="006B7B35">
        <w:rPr>
          <w:sz w:val="24"/>
          <w:szCs w:val="24"/>
          <w:lang w:eastAsia="en-GB"/>
        </w:rPr>
        <w:t xml:space="preserve">’s </w:t>
      </w:r>
      <w:r w:rsidRPr="006B7B35">
        <w:rPr>
          <w:sz w:val="24"/>
          <w:szCs w:val="24"/>
          <w:lang w:eastAsia="en-GB"/>
        </w:rPr>
        <w:t xml:space="preserve">actuaries </w:t>
      </w:r>
      <w:r w:rsidR="006B7B35" w:rsidRPr="006B7B35">
        <w:rPr>
          <w:sz w:val="24"/>
          <w:szCs w:val="24"/>
          <w:lang w:eastAsia="en-GB"/>
        </w:rPr>
        <w:t>have not yet been provided as the auditors (EY) had requested FY22’s valuations to be calculated again post the triennial valuation.  This h</w:t>
      </w:r>
      <w:r w:rsidR="00C26270">
        <w:rPr>
          <w:sz w:val="24"/>
          <w:szCs w:val="24"/>
          <w:lang w:eastAsia="en-GB"/>
        </w:rPr>
        <w:t>as resulted in a delay from LPFA</w:t>
      </w:r>
      <w:r w:rsidR="006B7B35" w:rsidRPr="006B7B35">
        <w:rPr>
          <w:sz w:val="24"/>
          <w:szCs w:val="24"/>
          <w:lang w:eastAsia="en-GB"/>
        </w:rPr>
        <w:t xml:space="preserve"> for FY23.</w:t>
      </w:r>
    </w:p>
    <w:p w14:paraId="0BDC13B3" w14:textId="77777777" w:rsidR="008738BE" w:rsidRDefault="007954F5" w:rsidP="008738BE">
      <w:pPr>
        <w:spacing w:after="120"/>
        <w:jc w:val="both"/>
        <w:rPr>
          <w:rFonts w:ascii="Arial" w:hAnsi="Arial" w:cs="Arial"/>
          <w:szCs w:val="24"/>
          <w:lang w:val="en-US"/>
        </w:rPr>
      </w:pPr>
      <w:r w:rsidRPr="00B27C91">
        <w:rPr>
          <w:rFonts w:ascii="Arial" w:hAnsi="Arial" w:cs="Arial"/>
          <w:szCs w:val="24"/>
          <w:lang w:val="en-US"/>
        </w:rPr>
        <w:t>30</w:t>
      </w:r>
      <w:r w:rsidR="008738BE">
        <w:rPr>
          <w:rFonts w:ascii="Arial" w:hAnsi="Arial" w:cs="Arial"/>
          <w:b/>
          <w:szCs w:val="24"/>
          <w:lang w:val="en-US"/>
        </w:rPr>
        <w:t xml:space="preserve">. </w:t>
      </w:r>
      <w:r w:rsidR="006A5089" w:rsidRPr="007A3E6A">
        <w:rPr>
          <w:rFonts w:ascii="Arial" w:hAnsi="Arial" w:cs="Arial"/>
          <w:b/>
          <w:szCs w:val="24"/>
          <w:lang w:val="en-US"/>
        </w:rPr>
        <w:t xml:space="preserve">Financial Implications </w:t>
      </w:r>
      <w:r w:rsidR="006A5089" w:rsidRPr="007A3E6A">
        <w:rPr>
          <w:rFonts w:ascii="Arial" w:hAnsi="Arial" w:cs="Arial"/>
          <w:szCs w:val="24"/>
          <w:lang w:val="en-US"/>
        </w:rPr>
        <w:t>– These are detailed in the report</w:t>
      </w:r>
      <w:r w:rsidR="008738BE">
        <w:rPr>
          <w:rFonts w:ascii="Arial" w:hAnsi="Arial" w:cs="Arial"/>
          <w:szCs w:val="24"/>
          <w:lang w:val="en-US"/>
        </w:rPr>
        <w:t>.</w:t>
      </w:r>
    </w:p>
    <w:p w14:paraId="14EC78E5" w14:textId="77777777" w:rsidR="00C2799A" w:rsidRPr="00C2799A" w:rsidRDefault="00C2799A" w:rsidP="008738BE">
      <w:pPr>
        <w:jc w:val="both"/>
        <w:rPr>
          <w:rFonts w:ascii="Arial" w:hAnsi="Arial" w:cs="Arial"/>
          <w:i/>
          <w:szCs w:val="24"/>
          <w:lang w:val="en-US"/>
        </w:rPr>
      </w:pPr>
    </w:p>
    <w:p w14:paraId="4EE6ABE1" w14:textId="77777777" w:rsidR="006A5089" w:rsidRDefault="007954F5" w:rsidP="008738BE">
      <w:pPr>
        <w:spacing w:after="120"/>
        <w:jc w:val="both"/>
        <w:rPr>
          <w:rFonts w:ascii="Arial" w:hAnsi="Arial" w:cs="Arial"/>
          <w:b/>
          <w:szCs w:val="24"/>
          <w:lang w:val="en-US"/>
        </w:rPr>
      </w:pPr>
      <w:r w:rsidRPr="00B27C91">
        <w:rPr>
          <w:rFonts w:ascii="Arial" w:hAnsi="Arial" w:cs="Arial"/>
          <w:szCs w:val="24"/>
          <w:lang w:val="en-US"/>
        </w:rPr>
        <w:t>31</w:t>
      </w:r>
      <w:r w:rsidR="008738BE" w:rsidRPr="00B27C91">
        <w:rPr>
          <w:rFonts w:ascii="Arial" w:hAnsi="Arial" w:cs="Arial"/>
          <w:szCs w:val="24"/>
          <w:lang w:val="en-US"/>
        </w:rPr>
        <w:t>.</w:t>
      </w:r>
      <w:r w:rsidR="008738BE">
        <w:rPr>
          <w:rFonts w:ascii="Arial" w:hAnsi="Arial" w:cs="Arial"/>
          <w:b/>
          <w:szCs w:val="24"/>
          <w:lang w:val="en-US"/>
        </w:rPr>
        <w:t xml:space="preserve"> </w:t>
      </w:r>
      <w:r w:rsidR="006A5089" w:rsidRPr="007A3E6A">
        <w:rPr>
          <w:rFonts w:ascii="Arial" w:hAnsi="Arial" w:cs="Arial"/>
          <w:b/>
          <w:szCs w:val="24"/>
          <w:lang w:val="en-US"/>
        </w:rPr>
        <w:t xml:space="preserve">Legal Implications </w:t>
      </w:r>
      <w:r w:rsidR="006A5089" w:rsidRPr="007A3E6A">
        <w:rPr>
          <w:rFonts w:ascii="Arial" w:hAnsi="Arial" w:cs="Arial"/>
          <w:szCs w:val="24"/>
          <w:lang w:val="en-US"/>
        </w:rPr>
        <w:t>–</w:t>
      </w:r>
      <w:r w:rsidR="003877CB">
        <w:rPr>
          <w:rFonts w:ascii="Arial" w:hAnsi="Arial" w:cs="Arial"/>
          <w:szCs w:val="24"/>
          <w:lang w:val="en-US"/>
        </w:rPr>
        <w:t xml:space="preserve"> It is a statutory requirement for the Authority to produce a</w:t>
      </w:r>
      <w:r w:rsidR="003E5C54">
        <w:rPr>
          <w:rFonts w:ascii="Arial" w:hAnsi="Arial" w:cs="Arial"/>
          <w:szCs w:val="24"/>
          <w:lang w:val="en-US"/>
        </w:rPr>
        <w:t>nnual financial statements</w:t>
      </w:r>
      <w:r w:rsidR="006A5089" w:rsidRPr="007A3E6A">
        <w:rPr>
          <w:rFonts w:ascii="Arial" w:hAnsi="Arial" w:cs="Arial"/>
          <w:b/>
          <w:szCs w:val="24"/>
          <w:lang w:val="en-US"/>
        </w:rPr>
        <w:t>.</w:t>
      </w:r>
    </w:p>
    <w:p w14:paraId="025CA38B" w14:textId="77777777" w:rsidR="008738BE" w:rsidRPr="007A3E6A" w:rsidRDefault="008738BE" w:rsidP="008738BE">
      <w:pPr>
        <w:jc w:val="both"/>
        <w:rPr>
          <w:rFonts w:ascii="Arial" w:hAnsi="Arial" w:cs="Arial"/>
          <w:b/>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530A13DD" w14:textId="77777777" w:rsidTr="00951B2B">
        <w:tc>
          <w:tcPr>
            <w:tcW w:w="2410" w:type="dxa"/>
          </w:tcPr>
          <w:p w14:paraId="36FAC5F1" w14:textId="77777777"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14:paraId="4D887C1A" w14:textId="77777777" w:rsidR="00C6030D" w:rsidRPr="000E2808" w:rsidRDefault="00C6030D" w:rsidP="00E04143">
            <w:pPr>
              <w:spacing w:before="120" w:after="120"/>
              <w:ind w:right="113"/>
              <w:rPr>
                <w:rFonts w:ascii="Arial" w:hAnsi="Arial" w:cs="Arial"/>
                <w:i/>
                <w:szCs w:val="24"/>
              </w:rPr>
            </w:pPr>
          </w:p>
        </w:tc>
        <w:tc>
          <w:tcPr>
            <w:tcW w:w="7938" w:type="dxa"/>
          </w:tcPr>
          <w:p w14:paraId="080DE237" w14:textId="77777777" w:rsidR="0083770D" w:rsidRPr="007A3E6A" w:rsidRDefault="0083770D" w:rsidP="0083770D">
            <w:pPr>
              <w:spacing w:before="120"/>
              <w:ind w:right="113"/>
              <w:rPr>
                <w:rFonts w:ascii="Arial" w:hAnsi="Arial" w:cs="Arial"/>
                <w:szCs w:val="24"/>
              </w:rPr>
            </w:pPr>
            <w:r w:rsidRPr="007A3E6A">
              <w:rPr>
                <w:rFonts w:ascii="Arial" w:hAnsi="Arial" w:cs="Arial"/>
                <w:szCs w:val="24"/>
              </w:rPr>
              <w:t xml:space="preserve">Jay Patel, </w:t>
            </w:r>
            <w:r>
              <w:rPr>
                <w:rFonts w:ascii="Arial" w:hAnsi="Arial" w:cs="Arial"/>
                <w:szCs w:val="24"/>
              </w:rPr>
              <w:t>Finance Director</w:t>
            </w:r>
            <w:r w:rsidRPr="007A3E6A">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654616">
              <w:rPr>
                <w:rFonts w:ascii="Arial" w:hAnsi="Arial" w:cs="Arial"/>
                <w:szCs w:val="24"/>
              </w:rPr>
              <w:t>0</w:t>
            </w:r>
            <w:r>
              <w:rPr>
                <w:rFonts w:ascii="Arial" w:hAnsi="Arial" w:cs="Arial"/>
                <w:szCs w:val="24"/>
              </w:rPr>
              <w:t>1895 54 55 10</w:t>
            </w:r>
          </w:p>
          <w:p w14:paraId="17AC199F" w14:textId="77777777" w:rsidR="0083770D" w:rsidRDefault="00321BF0" w:rsidP="0083770D">
            <w:pPr>
              <w:spacing w:before="120"/>
              <w:ind w:right="113"/>
              <w:rPr>
                <w:rFonts w:ascii="Arial" w:hAnsi="Arial" w:cs="Arial"/>
                <w:szCs w:val="24"/>
              </w:rPr>
            </w:pPr>
            <w:hyperlink r:id="rId11" w:history="1">
              <w:r w:rsidR="0083770D" w:rsidRPr="007A6CBD">
                <w:rPr>
                  <w:rStyle w:val="Hyperlink"/>
                  <w:rFonts w:ascii="Arial" w:hAnsi="Arial" w:cs="Arial"/>
                  <w:szCs w:val="24"/>
                </w:rPr>
                <w:t>jaypatel@westlondonwaste.gov.uk</w:t>
              </w:r>
            </w:hyperlink>
          </w:p>
          <w:p w14:paraId="405FA0BC" w14:textId="77777777" w:rsidR="0083770D" w:rsidRPr="007A3E6A" w:rsidRDefault="0083770D" w:rsidP="0083770D">
            <w:pPr>
              <w:spacing w:before="120"/>
              <w:ind w:right="113"/>
              <w:rPr>
                <w:rFonts w:ascii="Arial" w:hAnsi="Arial"/>
              </w:rPr>
            </w:pPr>
            <w:r w:rsidRPr="007A3E6A">
              <w:rPr>
                <w:rFonts w:ascii="Arial" w:hAnsi="Arial"/>
              </w:rPr>
              <w:t xml:space="preserve">Ian O’Donnell,  Treasurer   </w:t>
            </w:r>
            <w:r w:rsidRPr="007A3E6A">
              <w:rPr>
                <w:rFonts w:ascii="Arial" w:hAnsi="Arial" w:cs="Arial"/>
                <w:szCs w:val="24"/>
              </w:rPr>
              <w:tab/>
            </w:r>
            <w:r w:rsidRPr="007A3E6A">
              <w:rPr>
                <w:rFonts w:ascii="Arial" w:hAnsi="Arial" w:cs="Arial"/>
                <w:szCs w:val="24"/>
              </w:rPr>
              <w:tab/>
            </w:r>
            <w:r w:rsidRPr="007A3E6A">
              <w:rPr>
                <w:rFonts w:ascii="Arial" w:hAnsi="Arial" w:cs="Arial"/>
                <w:szCs w:val="24"/>
              </w:rPr>
              <w:tab/>
            </w:r>
          </w:p>
          <w:p w14:paraId="2FA61A13" w14:textId="77777777" w:rsidR="0083770D" w:rsidRDefault="00321BF0" w:rsidP="0083770D">
            <w:pPr>
              <w:spacing w:before="120"/>
              <w:ind w:right="113"/>
              <w:rPr>
                <w:rFonts w:ascii="Arial" w:hAnsi="Arial"/>
              </w:rPr>
            </w:pPr>
            <w:hyperlink r:id="rId12" w:history="1">
              <w:r w:rsidR="0083770D" w:rsidRPr="00A46B0C">
                <w:rPr>
                  <w:rStyle w:val="Hyperlink"/>
                  <w:rFonts w:ascii="Arial" w:hAnsi="Arial"/>
                </w:rPr>
                <w:t>ianodonnell@westlondonwaste.gov.uk</w:t>
              </w:r>
            </w:hyperlink>
            <w:r w:rsidR="0083770D">
              <w:rPr>
                <w:rFonts w:ascii="Arial" w:hAnsi="Arial"/>
              </w:rPr>
              <w:t xml:space="preserve"> </w:t>
            </w:r>
            <w:r w:rsidR="0083770D" w:rsidRPr="007A3E6A">
              <w:rPr>
                <w:rFonts w:ascii="Arial" w:hAnsi="Arial"/>
              </w:rPr>
              <w:t xml:space="preserve">       </w:t>
            </w:r>
          </w:p>
          <w:p w14:paraId="12431336" w14:textId="77777777" w:rsidR="0062167C" w:rsidRPr="007A3E6A" w:rsidRDefault="0062167C" w:rsidP="0062167C">
            <w:pPr>
              <w:spacing w:before="120"/>
              <w:ind w:right="113"/>
              <w:rPr>
                <w:rFonts w:ascii="Arial" w:hAnsi="Arial"/>
              </w:rPr>
            </w:pPr>
            <w:r>
              <w:rPr>
                <w:rFonts w:ascii="Arial" w:hAnsi="Arial"/>
              </w:rPr>
              <w:t>Sapna Dhanani,</w:t>
            </w:r>
            <w:r w:rsidRPr="007A3E6A">
              <w:rPr>
                <w:rFonts w:ascii="Arial" w:hAnsi="Arial"/>
              </w:rPr>
              <w:t xml:space="preserve">  </w:t>
            </w:r>
            <w:r>
              <w:rPr>
                <w:rFonts w:ascii="Arial" w:hAnsi="Arial"/>
              </w:rPr>
              <w:t xml:space="preserve">Finance Manager </w:t>
            </w:r>
            <w:r w:rsidRPr="007A3E6A">
              <w:rPr>
                <w:rFonts w:ascii="Arial" w:hAnsi="Arial"/>
              </w:rPr>
              <w:t xml:space="preserve">  </w:t>
            </w:r>
            <w:r w:rsidRPr="007A3E6A">
              <w:rPr>
                <w:rFonts w:ascii="Arial" w:hAnsi="Arial" w:cs="Arial"/>
                <w:szCs w:val="24"/>
              </w:rPr>
              <w:tab/>
            </w:r>
            <w:r w:rsidRPr="007A3E6A">
              <w:rPr>
                <w:rFonts w:ascii="Arial" w:hAnsi="Arial" w:cs="Arial"/>
                <w:szCs w:val="24"/>
              </w:rPr>
              <w:tab/>
            </w:r>
            <w:r w:rsidRPr="007A3E6A">
              <w:rPr>
                <w:rFonts w:ascii="Arial" w:hAnsi="Arial" w:cs="Arial"/>
                <w:szCs w:val="24"/>
              </w:rPr>
              <w:tab/>
            </w:r>
          </w:p>
          <w:p w14:paraId="3244BCF5" w14:textId="77777777" w:rsidR="0062167C" w:rsidRDefault="00321BF0" w:rsidP="0083770D">
            <w:pPr>
              <w:spacing w:before="120"/>
              <w:ind w:right="113"/>
              <w:rPr>
                <w:rFonts w:ascii="Arial" w:hAnsi="Arial"/>
              </w:rPr>
            </w:pPr>
            <w:hyperlink r:id="rId13" w:history="1">
              <w:r w:rsidR="0062167C" w:rsidRPr="003461DE">
                <w:rPr>
                  <w:rStyle w:val="Hyperlink"/>
                  <w:rFonts w:ascii="Arial" w:hAnsi="Arial"/>
                </w:rPr>
                <w:t>sapnadhanani@westlondonwaste.gov.uk</w:t>
              </w:r>
            </w:hyperlink>
            <w:r w:rsidR="0062167C">
              <w:rPr>
                <w:rFonts w:ascii="Arial" w:hAnsi="Arial"/>
              </w:rPr>
              <w:t xml:space="preserve"> </w:t>
            </w:r>
            <w:r w:rsidR="0062167C" w:rsidRPr="007A3E6A">
              <w:rPr>
                <w:rFonts w:ascii="Arial" w:hAnsi="Arial"/>
              </w:rPr>
              <w:t xml:space="preserve">       </w:t>
            </w:r>
          </w:p>
          <w:p w14:paraId="1211E1A4" w14:textId="77777777" w:rsidR="00141753" w:rsidRPr="007A3E6A" w:rsidRDefault="00141753" w:rsidP="0083770D">
            <w:pPr>
              <w:spacing w:before="120"/>
              <w:ind w:right="113"/>
              <w:rPr>
                <w:rFonts w:ascii="Arial" w:hAnsi="Arial" w:cs="Arial"/>
                <w:szCs w:val="24"/>
              </w:rPr>
            </w:pPr>
          </w:p>
        </w:tc>
      </w:tr>
    </w:tbl>
    <w:p w14:paraId="44A8E378" w14:textId="77777777" w:rsidR="005E2C32" w:rsidRDefault="005E2C32">
      <w:pPr>
        <w:rPr>
          <w:rFonts w:ascii="Arial" w:hAnsi="Arial" w:cs="Arial"/>
          <w:szCs w:val="24"/>
        </w:rPr>
      </w:pPr>
    </w:p>
    <w:p w14:paraId="1E2B58CC" w14:textId="77777777" w:rsidR="004A60B5" w:rsidRDefault="004A60B5">
      <w:pPr>
        <w:rPr>
          <w:rFonts w:ascii="Arial" w:hAnsi="Arial" w:cs="Arial"/>
          <w:b/>
          <w:noProof/>
          <w:szCs w:val="24"/>
          <w:lang w:eastAsia="en-GB"/>
        </w:rPr>
      </w:pPr>
    </w:p>
    <w:sectPr w:rsidR="004A60B5" w:rsidSect="003877CB">
      <w:footerReference w:type="default" r:id="rId14"/>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AA3F" w14:textId="77777777" w:rsidR="00643105" w:rsidRDefault="00643105">
      <w:r>
        <w:separator/>
      </w:r>
    </w:p>
  </w:endnote>
  <w:endnote w:type="continuationSeparator" w:id="0">
    <w:p w14:paraId="08F3654D" w14:textId="77777777" w:rsidR="00643105" w:rsidRDefault="006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8585" w14:textId="77777777" w:rsidR="00643105" w:rsidRDefault="00643105"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5024" w14:textId="77777777" w:rsidR="00643105" w:rsidRDefault="00643105">
      <w:r>
        <w:separator/>
      </w:r>
    </w:p>
  </w:footnote>
  <w:footnote w:type="continuationSeparator" w:id="0">
    <w:p w14:paraId="5A3A5495" w14:textId="77777777" w:rsidR="00643105" w:rsidRDefault="0064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10D02F20"/>
    <w:multiLevelType w:val="hybridMultilevel"/>
    <w:tmpl w:val="2DFED3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A55D04"/>
    <w:multiLevelType w:val="hybridMultilevel"/>
    <w:tmpl w:val="732E40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D0943"/>
    <w:multiLevelType w:val="hybridMultilevel"/>
    <w:tmpl w:val="B3D0D40A"/>
    <w:lvl w:ilvl="0" w:tplc="45E257C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195CA2"/>
    <w:multiLevelType w:val="hybridMultilevel"/>
    <w:tmpl w:val="7BDC3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6" w15:restartNumberingAfterBreak="0">
    <w:nsid w:val="5DC75970"/>
    <w:multiLevelType w:val="hybridMultilevel"/>
    <w:tmpl w:val="58C4D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8"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19"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70A52E9F"/>
    <w:multiLevelType w:val="hybridMultilevel"/>
    <w:tmpl w:val="7F9E7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6"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174817"/>
    <w:multiLevelType w:val="hybridMultilevel"/>
    <w:tmpl w:val="D972A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2"/>
  </w:num>
  <w:num w:numId="3">
    <w:abstractNumId w:val="17"/>
  </w:num>
  <w:num w:numId="4">
    <w:abstractNumId w:val="19"/>
  </w:num>
  <w:num w:numId="5">
    <w:abstractNumId w:val="6"/>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2"/>
  </w:num>
  <w:num w:numId="11">
    <w:abstractNumId w:val="8"/>
  </w:num>
  <w:num w:numId="12">
    <w:abstractNumId w:val="18"/>
  </w:num>
  <w:num w:numId="13">
    <w:abstractNumId w:val="27"/>
  </w:num>
  <w:num w:numId="14">
    <w:abstractNumId w:val="15"/>
  </w:num>
  <w:num w:numId="15">
    <w:abstractNumId w:val="10"/>
  </w:num>
  <w:num w:numId="16">
    <w:abstractNumId w:val="29"/>
  </w:num>
  <w:num w:numId="17">
    <w:abstractNumId w:val="20"/>
  </w:num>
  <w:num w:numId="18">
    <w:abstractNumId w:val="5"/>
  </w:num>
  <w:num w:numId="19">
    <w:abstractNumId w:val="26"/>
  </w:num>
  <w:num w:numId="20">
    <w:abstractNumId w:val="28"/>
  </w:num>
  <w:num w:numId="21">
    <w:abstractNumId w:val="13"/>
  </w:num>
  <w:num w:numId="22">
    <w:abstractNumId w:val="4"/>
  </w:num>
  <w:num w:numId="23">
    <w:abstractNumId w:val="30"/>
  </w:num>
  <w:num w:numId="24">
    <w:abstractNumId w:val="1"/>
  </w:num>
  <w:num w:numId="25">
    <w:abstractNumId w:val="3"/>
  </w:num>
  <w:num w:numId="26">
    <w:abstractNumId w:val="23"/>
  </w:num>
  <w:num w:numId="27">
    <w:abstractNumId w:val="24"/>
  </w:num>
  <w:num w:numId="28">
    <w:abstractNumId w:val="14"/>
  </w:num>
  <w:num w:numId="29">
    <w:abstractNumId w:val="16"/>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30E0"/>
    <w:rsid w:val="00003890"/>
    <w:rsid w:val="00006FE3"/>
    <w:rsid w:val="00011244"/>
    <w:rsid w:val="00011E40"/>
    <w:rsid w:val="0001215D"/>
    <w:rsid w:val="00013985"/>
    <w:rsid w:val="00016D1A"/>
    <w:rsid w:val="00016FA7"/>
    <w:rsid w:val="00022574"/>
    <w:rsid w:val="00023BF7"/>
    <w:rsid w:val="000247A9"/>
    <w:rsid w:val="00030A72"/>
    <w:rsid w:val="00030B5D"/>
    <w:rsid w:val="00031471"/>
    <w:rsid w:val="000325A4"/>
    <w:rsid w:val="000325E1"/>
    <w:rsid w:val="00034B83"/>
    <w:rsid w:val="000364C3"/>
    <w:rsid w:val="00036BB3"/>
    <w:rsid w:val="00040377"/>
    <w:rsid w:val="00042D9A"/>
    <w:rsid w:val="00043358"/>
    <w:rsid w:val="000479D5"/>
    <w:rsid w:val="00050BD6"/>
    <w:rsid w:val="00050E94"/>
    <w:rsid w:val="00051B59"/>
    <w:rsid w:val="0005584C"/>
    <w:rsid w:val="00057672"/>
    <w:rsid w:val="000661DA"/>
    <w:rsid w:val="00071151"/>
    <w:rsid w:val="000721D3"/>
    <w:rsid w:val="00074F47"/>
    <w:rsid w:val="00075E1E"/>
    <w:rsid w:val="00077FD9"/>
    <w:rsid w:val="0008343E"/>
    <w:rsid w:val="00083A87"/>
    <w:rsid w:val="00083E4C"/>
    <w:rsid w:val="00086BBB"/>
    <w:rsid w:val="00087CC0"/>
    <w:rsid w:val="00090377"/>
    <w:rsid w:val="00092C4D"/>
    <w:rsid w:val="00093D50"/>
    <w:rsid w:val="00094C3C"/>
    <w:rsid w:val="00095E08"/>
    <w:rsid w:val="000A00F2"/>
    <w:rsid w:val="000A20CA"/>
    <w:rsid w:val="000A6007"/>
    <w:rsid w:val="000A6544"/>
    <w:rsid w:val="000B0968"/>
    <w:rsid w:val="000B0F05"/>
    <w:rsid w:val="000B2482"/>
    <w:rsid w:val="000B277C"/>
    <w:rsid w:val="000B484C"/>
    <w:rsid w:val="000B56C1"/>
    <w:rsid w:val="000B7672"/>
    <w:rsid w:val="000B794A"/>
    <w:rsid w:val="000C22A9"/>
    <w:rsid w:val="000C3853"/>
    <w:rsid w:val="000C3A47"/>
    <w:rsid w:val="000C3EC0"/>
    <w:rsid w:val="000C6967"/>
    <w:rsid w:val="000C784C"/>
    <w:rsid w:val="000D1708"/>
    <w:rsid w:val="000D1F2B"/>
    <w:rsid w:val="000D4650"/>
    <w:rsid w:val="000D5A53"/>
    <w:rsid w:val="000D5C0B"/>
    <w:rsid w:val="000D62A9"/>
    <w:rsid w:val="000E1EEF"/>
    <w:rsid w:val="000E2808"/>
    <w:rsid w:val="000E2845"/>
    <w:rsid w:val="000E28BE"/>
    <w:rsid w:val="000E5C42"/>
    <w:rsid w:val="000E6768"/>
    <w:rsid w:val="000F15CC"/>
    <w:rsid w:val="000F659C"/>
    <w:rsid w:val="000F6688"/>
    <w:rsid w:val="000F6BB2"/>
    <w:rsid w:val="000F7D4D"/>
    <w:rsid w:val="00100B13"/>
    <w:rsid w:val="00101539"/>
    <w:rsid w:val="00104087"/>
    <w:rsid w:val="0010692E"/>
    <w:rsid w:val="001077F8"/>
    <w:rsid w:val="00110733"/>
    <w:rsid w:val="001119E7"/>
    <w:rsid w:val="00111F0E"/>
    <w:rsid w:val="00114096"/>
    <w:rsid w:val="00115242"/>
    <w:rsid w:val="001156E7"/>
    <w:rsid w:val="00116021"/>
    <w:rsid w:val="001162B9"/>
    <w:rsid w:val="0011671B"/>
    <w:rsid w:val="00117B80"/>
    <w:rsid w:val="001202FE"/>
    <w:rsid w:val="001207A0"/>
    <w:rsid w:val="00120BCA"/>
    <w:rsid w:val="00121151"/>
    <w:rsid w:val="00121799"/>
    <w:rsid w:val="00121A0B"/>
    <w:rsid w:val="00122FD3"/>
    <w:rsid w:val="00123A9D"/>
    <w:rsid w:val="00125DAF"/>
    <w:rsid w:val="00130DD3"/>
    <w:rsid w:val="0013333F"/>
    <w:rsid w:val="001367E1"/>
    <w:rsid w:val="00136986"/>
    <w:rsid w:val="0014173C"/>
    <w:rsid w:val="00141753"/>
    <w:rsid w:val="00142054"/>
    <w:rsid w:val="00143158"/>
    <w:rsid w:val="00144E42"/>
    <w:rsid w:val="001510FF"/>
    <w:rsid w:val="0015162B"/>
    <w:rsid w:val="00151DF1"/>
    <w:rsid w:val="00153491"/>
    <w:rsid w:val="001540FE"/>
    <w:rsid w:val="0015533E"/>
    <w:rsid w:val="00162372"/>
    <w:rsid w:val="001626DE"/>
    <w:rsid w:val="00164649"/>
    <w:rsid w:val="001719B4"/>
    <w:rsid w:val="00174647"/>
    <w:rsid w:val="00175053"/>
    <w:rsid w:val="00180499"/>
    <w:rsid w:val="00180B7A"/>
    <w:rsid w:val="00180DC3"/>
    <w:rsid w:val="0018141F"/>
    <w:rsid w:val="001832BB"/>
    <w:rsid w:val="00185C41"/>
    <w:rsid w:val="0018668E"/>
    <w:rsid w:val="001870A6"/>
    <w:rsid w:val="00191E03"/>
    <w:rsid w:val="00191FEF"/>
    <w:rsid w:val="00193350"/>
    <w:rsid w:val="00195B45"/>
    <w:rsid w:val="00195CDC"/>
    <w:rsid w:val="00196F91"/>
    <w:rsid w:val="001A21A3"/>
    <w:rsid w:val="001A4690"/>
    <w:rsid w:val="001A4720"/>
    <w:rsid w:val="001A4840"/>
    <w:rsid w:val="001A55C3"/>
    <w:rsid w:val="001A5F52"/>
    <w:rsid w:val="001A6E8E"/>
    <w:rsid w:val="001B1D57"/>
    <w:rsid w:val="001B28AB"/>
    <w:rsid w:val="001B71CD"/>
    <w:rsid w:val="001C3393"/>
    <w:rsid w:val="001C3C2B"/>
    <w:rsid w:val="001C52C7"/>
    <w:rsid w:val="001C6EC5"/>
    <w:rsid w:val="001C7219"/>
    <w:rsid w:val="001C772F"/>
    <w:rsid w:val="001C7A24"/>
    <w:rsid w:val="001D0669"/>
    <w:rsid w:val="001D3477"/>
    <w:rsid w:val="001D39CC"/>
    <w:rsid w:val="001D55CC"/>
    <w:rsid w:val="001D5AA2"/>
    <w:rsid w:val="001D68E6"/>
    <w:rsid w:val="001E2E89"/>
    <w:rsid w:val="001E3F45"/>
    <w:rsid w:val="001E57DC"/>
    <w:rsid w:val="001F0A87"/>
    <w:rsid w:val="001F0F68"/>
    <w:rsid w:val="001F1CF3"/>
    <w:rsid w:val="001F2048"/>
    <w:rsid w:val="001F2652"/>
    <w:rsid w:val="002030F2"/>
    <w:rsid w:val="00203DB1"/>
    <w:rsid w:val="00206732"/>
    <w:rsid w:val="00207516"/>
    <w:rsid w:val="00207CD4"/>
    <w:rsid w:val="00207D4B"/>
    <w:rsid w:val="00211657"/>
    <w:rsid w:val="00213B61"/>
    <w:rsid w:val="00215F54"/>
    <w:rsid w:val="0021630D"/>
    <w:rsid w:val="00216DA7"/>
    <w:rsid w:val="002222B4"/>
    <w:rsid w:val="002227F5"/>
    <w:rsid w:val="00222875"/>
    <w:rsid w:val="0022394C"/>
    <w:rsid w:val="0023037E"/>
    <w:rsid w:val="00231EA3"/>
    <w:rsid w:val="00232345"/>
    <w:rsid w:val="002362F2"/>
    <w:rsid w:val="0023722A"/>
    <w:rsid w:val="00237596"/>
    <w:rsid w:val="00242633"/>
    <w:rsid w:val="00244AD4"/>
    <w:rsid w:val="00245211"/>
    <w:rsid w:val="002509B7"/>
    <w:rsid w:val="00251F7D"/>
    <w:rsid w:val="002522A6"/>
    <w:rsid w:val="002533F8"/>
    <w:rsid w:val="002536AA"/>
    <w:rsid w:val="002549E3"/>
    <w:rsid w:val="00254CEA"/>
    <w:rsid w:val="00255902"/>
    <w:rsid w:val="002563EC"/>
    <w:rsid w:val="002623D0"/>
    <w:rsid w:val="002626D8"/>
    <w:rsid w:val="00262F5D"/>
    <w:rsid w:val="002638FA"/>
    <w:rsid w:val="00263DB5"/>
    <w:rsid w:val="0026410A"/>
    <w:rsid w:val="002718C8"/>
    <w:rsid w:val="00271A0A"/>
    <w:rsid w:val="002726B8"/>
    <w:rsid w:val="00275C91"/>
    <w:rsid w:val="00276164"/>
    <w:rsid w:val="00277027"/>
    <w:rsid w:val="0028083B"/>
    <w:rsid w:val="00285B48"/>
    <w:rsid w:val="0029067B"/>
    <w:rsid w:val="002912E7"/>
    <w:rsid w:val="00291B9B"/>
    <w:rsid w:val="002941B5"/>
    <w:rsid w:val="00294803"/>
    <w:rsid w:val="00294FF3"/>
    <w:rsid w:val="00297C6A"/>
    <w:rsid w:val="002A08A2"/>
    <w:rsid w:val="002A2865"/>
    <w:rsid w:val="002A2D72"/>
    <w:rsid w:val="002A3CE0"/>
    <w:rsid w:val="002A4245"/>
    <w:rsid w:val="002A50C7"/>
    <w:rsid w:val="002A7112"/>
    <w:rsid w:val="002A741D"/>
    <w:rsid w:val="002B0227"/>
    <w:rsid w:val="002B039E"/>
    <w:rsid w:val="002B1DA7"/>
    <w:rsid w:val="002B3F49"/>
    <w:rsid w:val="002C124B"/>
    <w:rsid w:val="002C1444"/>
    <w:rsid w:val="002C3548"/>
    <w:rsid w:val="002C5E47"/>
    <w:rsid w:val="002C7A85"/>
    <w:rsid w:val="002C7B6A"/>
    <w:rsid w:val="002D044E"/>
    <w:rsid w:val="002D2A66"/>
    <w:rsid w:val="002D2D09"/>
    <w:rsid w:val="002D3ECD"/>
    <w:rsid w:val="002D5FD7"/>
    <w:rsid w:val="002D6BEA"/>
    <w:rsid w:val="002E0323"/>
    <w:rsid w:val="002E0761"/>
    <w:rsid w:val="002E4C7C"/>
    <w:rsid w:val="002E547D"/>
    <w:rsid w:val="002E5BE7"/>
    <w:rsid w:val="002E5D16"/>
    <w:rsid w:val="002E65A2"/>
    <w:rsid w:val="002E724D"/>
    <w:rsid w:val="002E7AC2"/>
    <w:rsid w:val="002F0156"/>
    <w:rsid w:val="002F1538"/>
    <w:rsid w:val="002F6EAE"/>
    <w:rsid w:val="002F7169"/>
    <w:rsid w:val="00302C78"/>
    <w:rsid w:val="003032AE"/>
    <w:rsid w:val="00303BA8"/>
    <w:rsid w:val="00303E26"/>
    <w:rsid w:val="003040A6"/>
    <w:rsid w:val="003057C3"/>
    <w:rsid w:val="00307282"/>
    <w:rsid w:val="003102EF"/>
    <w:rsid w:val="00310CCF"/>
    <w:rsid w:val="00311D8C"/>
    <w:rsid w:val="00315759"/>
    <w:rsid w:val="00320392"/>
    <w:rsid w:val="00321BF0"/>
    <w:rsid w:val="00323EA8"/>
    <w:rsid w:val="00327CDF"/>
    <w:rsid w:val="00327EB1"/>
    <w:rsid w:val="00331294"/>
    <w:rsid w:val="0033295D"/>
    <w:rsid w:val="003354DA"/>
    <w:rsid w:val="0033554A"/>
    <w:rsid w:val="00335937"/>
    <w:rsid w:val="00335D8C"/>
    <w:rsid w:val="00336381"/>
    <w:rsid w:val="00336A0D"/>
    <w:rsid w:val="00336C17"/>
    <w:rsid w:val="00342685"/>
    <w:rsid w:val="00344AC6"/>
    <w:rsid w:val="00345C23"/>
    <w:rsid w:val="00346F0B"/>
    <w:rsid w:val="00351542"/>
    <w:rsid w:val="003520CE"/>
    <w:rsid w:val="00352605"/>
    <w:rsid w:val="003537F8"/>
    <w:rsid w:val="0035588B"/>
    <w:rsid w:val="00360EEE"/>
    <w:rsid w:val="00364FA9"/>
    <w:rsid w:val="0036514B"/>
    <w:rsid w:val="0036607D"/>
    <w:rsid w:val="00366519"/>
    <w:rsid w:val="00367C3E"/>
    <w:rsid w:val="00370F8E"/>
    <w:rsid w:val="003716E6"/>
    <w:rsid w:val="00372DE6"/>
    <w:rsid w:val="003768CD"/>
    <w:rsid w:val="0037775D"/>
    <w:rsid w:val="00380795"/>
    <w:rsid w:val="00383310"/>
    <w:rsid w:val="003862B3"/>
    <w:rsid w:val="003866CC"/>
    <w:rsid w:val="00386E22"/>
    <w:rsid w:val="003877CB"/>
    <w:rsid w:val="00390A96"/>
    <w:rsid w:val="0039531D"/>
    <w:rsid w:val="003A15E9"/>
    <w:rsid w:val="003A190D"/>
    <w:rsid w:val="003A2B6D"/>
    <w:rsid w:val="003A3671"/>
    <w:rsid w:val="003A52A8"/>
    <w:rsid w:val="003A544F"/>
    <w:rsid w:val="003B157C"/>
    <w:rsid w:val="003B2BB2"/>
    <w:rsid w:val="003B4C10"/>
    <w:rsid w:val="003C4AB5"/>
    <w:rsid w:val="003C5377"/>
    <w:rsid w:val="003C64E5"/>
    <w:rsid w:val="003D3E13"/>
    <w:rsid w:val="003D44EE"/>
    <w:rsid w:val="003D4981"/>
    <w:rsid w:val="003D71EA"/>
    <w:rsid w:val="003E1570"/>
    <w:rsid w:val="003E19B0"/>
    <w:rsid w:val="003E3241"/>
    <w:rsid w:val="003E3805"/>
    <w:rsid w:val="003E3B61"/>
    <w:rsid w:val="003E5673"/>
    <w:rsid w:val="003E5C54"/>
    <w:rsid w:val="003E6636"/>
    <w:rsid w:val="003E7EE3"/>
    <w:rsid w:val="003F0505"/>
    <w:rsid w:val="003F1C32"/>
    <w:rsid w:val="003F3F36"/>
    <w:rsid w:val="003F6D79"/>
    <w:rsid w:val="00400384"/>
    <w:rsid w:val="00400B2A"/>
    <w:rsid w:val="0040130C"/>
    <w:rsid w:val="0040168F"/>
    <w:rsid w:val="004043E8"/>
    <w:rsid w:val="00407BA1"/>
    <w:rsid w:val="00412D85"/>
    <w:rsid w:val="00417FDF"/>
    <w:rsid w:val="004221F8"/>
    <w:rsid w:val="004226A0"/>
    <w:rsid w:val="00423498"/>
    <w:rsid w:val="00424335"/>
    <w:rsid w:val="004250AE"/>
    <w:rsid w:val="00425514"/>
    <w:rsid w:val="00430ACE"/>
    <w:rsid w:val="00431D69"/>
    <w:rsid w:val="0043350D"/>
    <w:rsid w:val="00434CDF"/>
    <w:rsid w:val="004351F7"/>
    <w:rsid w:val="00436A35"/>
    <w:rsid w:val="004370C7"/>
    <w:rsid w:val="00437221"/>
    <w:rsid w:val="00437EFB"/>
    <w:rsid w:val="00440E94"/>
    <w:rsid w:val="004426A9"/>
    <w:rsid w:val="00446881"/>
    <w:rsid w:val="004471DF"/>
    <w:rsid w:val="00450CE8"/>
    <w:rsid w:val="00451BFB"/>
    <w:rsid w:val="00452E3E"/>
    <w:rsid w:val="0045307A"/>
    <w:rsid w:val="00454A7B"/>
    <w:rsid w:val="00456A0E"/>
    <w:rsid w:val="00462921"/>
    <w:rsid w:val="00465632"/>
    <w:rsid w:val="004675D0"/>
    <w:rsid w:val="00467C82"/>
    <w:rsid w:val="0047184A"/>
    <w:rsid w:val="00472253"/>
    <w:rsid w:val="00473151"/>
    <w:rsid w:val="00474ADE"/>
    <w:rsid w:val="00475201"/>
    <w:rsid w:val="0047796E"/>
    <w:rsid w:val="00477A87"/>
    <w:rsid w:val="004806C4"/>
    <w:rsid w:val="00482172"/>
    <w:rsid w:val="0048235F"/>
    <w:rsid w:val="0048317D"/>
    <w:rsid w:val="00484380"/>
    <w:rsid w:val="004851A9"/>
    <w:rsid w:val="0049048D"/>
    <w:rsid w:val="004914D9"/>
    <w:rsid w:val="00493FFE"/>
    <w:rsid w:val="004944D1"/>
    <w:rsid w:val="00496525"/>
    <w:rsid w:val="00496684"/>
    <w:rsid w:val="00496D08"/>
    <w:rsid w:val="0049742E"/>
    <w:rsid w:val="004A2814"/>
    <w:rsid w:val="004A4A1A"/>
    <w:rsid w:val="004A60B5"/>
    <w:rsid w:val="004A6EFA"/>
    <w:rsid w:val="004B07A1"/>
    <w:rsid w:val="004B3E9E"/>
    <w:rsid w:val="004B4D64"/>
    <w:rsid w:val="004C2B15"/>
    <w:rsid w:val="004D10E9"/>
    <w:rsid w:val="004D2534"/>
    <w:rsid w:val="004D3AD5"/>
    <w:rsid w:val="004D3CCE"/>
    <w:rsid w:val="004D5474"/>
    <w:rsid w:val="004E08E7"/>
    <w:rsid w:val="004E3149"/>
    <w:rsid w:val="004E4A52"/>
    <w:rsid w:val="004E4A99"/>
    <w:rsid w:val="004E5965"/>
    <w:rsid w:val="004E61A9"/>
    <w:rsid w:val="004F22C5"/>
    <w:rsid w:val="004F411A"/>
    <w:rsid w:val="004F4A77"/>
    <w:rsid w:val="004F652A"/>
    <w:rsid w:val="005007CC"/>
    <w:rsid w:val="00502CBB"/>
    <w:rsid w:val="00503251"/>
    <w:rsid w:val="0050339E"/>
    <w:rsid w:val="00503B12"/>
    <w:rsid w:val="00505FE4"/>
    <w:rsid w:val="0050651F"/>
    <w:rsid w:val="00506E60"/>
    <w:rsid w:val="00511C8D"/>
    <w:rsid w:val="005136EA"/>
    <w:rsid w:val="00514403"/>
    <w:rsid w:val="00514822"/>
    <w:rsid w:val="00514A1E"/>
    <w:rsid w:val="005179B5"/>
    <w:rsid w:val="00521F0B"/>
    <w:rsid w:val="00522C1C"/>
    <w:rsid w:val="00525F66"/>
    <w:rsid w:val="00526A0B"/>
    <w:rsid w:val="005273D8"/>
    <w:rsid w:val="00527F60"/>
    <w:rsid w:val="00530645"/>
    <w:rsid w:val="005344DE"/>
    <w:rsid w:val="00534B31"/>
    <w:rsid w:val="00535020"/>
    <w:rsid w:val="0053533A"/>
    <w:rsid w:val="00536264"/>
    <w:rsid w:val="00541E98"/>
    <w:rsid w:val="005424EC"/>
    <w:rsid w:val="00544B9A"/>
    <w:rsid w:val="00545759"/>
    <w:rsid w:val="00547B02"/>
    <w:rsid w:val="005506C4"/>
    <w:rsid w:val="00552CEB"/>
    <w:rsid w:val="00552FC0"/>
    <w:rsid w:val="00553035"/>
    <w:rsid w:val="00554D4B"/>
    <w:rsid w:val="005553CA"/>
    <w:rsid w:val="00556097"/>
    <w:rsid w:val="005562C7"/>
    <w:rsid w:val="00557846"/>
    <w:rsid w:val="005632FC"/>
    <w:rsid w:val="00570B7E"/>
    <w:rsid w:val="005771DA"/>
    <w:rsid w:val="00583F20"/>
    <w:rsid w:val="0058632C"/>
    <w:rsid w:val="00590A15"/>
    <w:rsid w:val="00592D5F"/>
    <w:rsid w:val="00594883"/>
    <w:rsid w:val="00597388"/>
    <w:rsid w:val="005A0D78"/>
    <w:rsid w:val="005A1218"/>
    <w:rsid w:val="005A4C06"/>
    <w:rsid w:val="005A4F0C"/>
    <w:rsid w:val="005A50BB"/>
    <w:rsid w:val="005A567C"/>
    <w:rsid w:val="005A6934"/>
    <w:rsid w:val="005A7F25"/>
    <w:rsid w:val="005B052E"/>
    <w:rsid w:val="005B0BE0"/>
    <w:rsid w:val="005B17E9"/>
    <w:rsid w:val="005B307E"/>
    <w:rsid w:val="005B3E03"/>
    <w:rsid w:val="005B66DF"/>
    <w:rsid w:val="005B6B2D"/>
    <w:rsid w:val="005C0616"/>
    <w:rsid w:val="005C1D41"/>
    <w:rsid w:val="005C2308"/>
    <w:rsid w:val="005C286D"/>
    <w:rsid w:val="005C4229"/>
    <w:rsid w:val="005C6FC6"/>
    <w:rsid w:val="005C70BE"/>
    <w:rsid w:val="005D0740"/>
    <w:rsid w:val="005D3D19"/>
    <w:rsid w:val="005D4159"/>
    <w:rsid w:val="005D4704"/>
    <w:rsid w:val="005D6094"/>
    <w:rsid w:val="005D634E"/>
    <w:rsid w:val="005E1C31"/>
    <w:rsid w:val="005E2C32"/>
    <w:rsid w:val="005E30C0"/>
    <w:rsid w:val="005E3EE0"/>
    <w:rsid w:val="005E537A"/>
    <w:rsid w:val="005E6215"/>
    <w:rsid w:val="005E6835"/>
    <w:rsid w:val="005E6953"/>
    <w:rsid w:val="005E756A"/>
    <w:rsid w:val="005F0278"/>
    <w:rsid w:val="005F042F"/>
    <w:rsid w:val="005F0B46"/>
    <w:rsid w:val="005F1299"/>
    <w:rsid w:val="005F1E62"/>
    <w:rsid w:val="005F4321"/>
    <w:rsid w:val="005F463D"/>
    <w:rsid w:val="005F5A17"/>
    <w:rsid w:val="005F65A1"/>
    <w:rsid w:val="005F7167"/>
    <w:rsid w:val="00601977"/>
    <w:rsid w:val="00603F44"/>
    <w:rsid w:val="00604702"/>
    <w:rsid w:val="00605029"/>
    <w:rsid w:val="00605186"/>
    <w:rsid w:val="00605E9D"/>
    <w:rsid w:val="00613454"/>
    <w:rsid w:val="006160AA"/>
    <w:rsid w:val="0062167C"/>
    <w:rsid w:val="00621ADF"/>
    <w:rsid w:val="00625164"/>
    <w:rsid w:val="00626F91"/>
    <w:rsid w:val="006270B9"/>
    <w:rsid w:val="006273E9"/>
    <w:rsid w:val="0063034B"/>
    <w:rsid w:val="006310A6"/>
    <w:rsid w:val="00632F44"/>
    <w:rsid w:val="00634B04"/>
    <w:rsid w:val="006350FF"/>
    <w:rsid w:val="00641CC6"/>
    <w:rsid w:val="00641F9C"/>
    <w:rsid w:val="00643105"/>
    <w:rsid w:val="0064481C"/>
    <w:rsid w:val="00644C2A"/>
    <w:rsid w:val="00644E02"/>
    <w:rsid w:val="00646E26"/>
    <w:rsid w:val="00647E14"/>
    <w:rsid w:val="00647F32"/>
    <w:rsid w:val="00653B07"/>
    <w:rsid w:val="00654B3F"/>
    <w:rsid w:val="00655BC0"/>
    <w:rsid w:val="006564AD"/>
    <w:rsid w:val="006604F7"/>
    <w:rsid w:val="00660A62"/>
    <w:rsid w:val="00662711"/>
    <w:rsid w:val="00663BF9"/>
    <w:rsid w:val="00664535"/>
    <w:rsid w:val="0066511D"/>
    <w:rsid w:val="00665AA3"/>
    <w:rsid w:val="00667220"/>
    <w:rsid w:val="0067065F"/>
    <w:rsid w:val="00671632"/>
    <w:rsid w:val="00671740"/>
    <w:rsid w:val="006723B5"/>
    <w:rsid w:val="00674C80"/>
    <w:rsid w:val="00675690"/>
    <w:rsid w:val="00676183"/>
    <w:rsid w:val="006776AF"/>
    <w:rsid w:val="00677DE4"/>
    <w:rsid w:val="00684046"/>
    <w:rsid w:val="00684722"/>
    <w:rsid w:val="006871DB"/>
    <w:rsid w:val="006876D1"/>
    <w:rsid w:val="00687823"/>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B35"/>
    <w:rsid w:val="006B7D16"/>
    <w:rsid w:val="006C0E91"/>
    <w:rsid w:val="006C2241"/>
    <w:rsid w:val="006C63D1"/>
    <w:rsid w:val="006C6DDD"/>
    <w:rsid w:val="006D1B89"/>
    <w:rsid w:val="006D56AB"/>
    <w:rsid w:val="006D56AF"/>
    <w:rsid w:val="006E11E6"/>
    <w:rsid w:val="006E4017"/>
    <w:rsid w:val="006E44E0"/>
    <w:rsid w:val="006E51D6"/>
    <w:rsid w:val="006E6258"/>
    <w:rsid w:val="006E6317"/>
    <w:rsid w:val="006E6694"/>
    <w:rsid w:val="006E71A2"/>
    <w:rsid w:val="006E77F3"/>
    <w:rsid w:val="006E7A90"/>
    <w:rsid w:val="006F0A6B"/>
    <w:rsid w:val="006F51B4"/>
    <w:rsid w:val="006F5962"/>
    <w:rsid w:val="0070207C"/>
    <w:rsid w:val="007031F3"/>
    <w:rsid w:val="007035AA"/>
    <w:rsid w:val="00705D34"/>
    <w:rsid w:val="007060C8"/>
    <w:rsid w:val="00706616"/>
    <w:rsid w:val="007069B6"/>
    <w:rsid w:val="00707A47"/>
    <w:rsid w:val="00707D0B"/>
    <w:rsid w:val="007105C9"/>
    <w:rsid w:val="0071285E"/>
    <w:rsid w:val="007132A7"/>
    <w:rsid w:val="007143A0"/>
    <w:rsid w:val="00714BC6"/>
    <w:rsid w:val="00714FE3"/>
    <w:rsid w:val="00715EAC"/>
    <w:rsid w:val="00717A72"/>
    <w:rsid w:val="00720C65"/>
    <w:rsid w:val="00723334"/>
    <w:rsid w:val="00724B7C"/>
    <w:rsid w:val="007269A9"/>
    <w:rsid w:val="00732995"/>
    <w:rsid w:val="0073487C"/>
    <w:rsid w:val="00734EAB"/>
    <w:rsid w:val="007367E8"/>
    <w:rsid w:val="00743EB6"/>
    <w:rsid w:val="007470AA"/>
    <w:rsid w:val="00750FEE"/>
    <w:rsid w:val="00752A0F"/>
    <w:rsid w:val="00754D9D"/>
    <w:rsid w:val="00755A2F"/>
    <w:rsid w:val="00761B35"/>
    <w:rsid w:val="00761BEF"/>
    <w:rsid w:val="007636A3"/>
    <w:rsid w:val="007659E2"/>
    <w:rsid w:val="00766885"/>
    <w:rsid w:val="00770194"/>
    <w:rsid w:val="00770846"/>
    <w:rsid w:val="00772BB7"/>
    <w:rsid w:val="0077561B"/>
    <w:rsid w:val="00775A7B"/>
    <w:rsid w:val="007816C6"/>
    <w:rsid w:val="00781AB5"/>
    <w:rsid w:val="00782FA0"/>
    <w:rsid w:val="00783657"/>
    <w:rsid w:val="007838EA"/>
    <w:rsid w:val="0078417B"/>
    <w:rsid w:val="007844DF"/>
    <w:rsid w:val="00784955"/>
    <w:rsid w:val="00784F91"/>
    <w:rsid w:val="00785721"/>
    <w:rsid w:val="007905BD"/>
    <w:rsid w:val="007954F5"/>
    <w:rsid w:val="00796491"/>
    <w:rsid w:val="007970F8"/>
    <w:rsid w:val="007978A3"/>
    <w:rsid w:val="00797B3A"/>
    <w:rsid w:val="007A3BE0"/>
    <w:rsid w:val="007A3E6A"/>
    <w:rsid w:val="007A4DC2"/>
    <w:rsid w:val="007A620C"/>
    <w:rsid w:val="007B77CB"/>
    <w:rsid w:val="007C12DA"/>
    <w:rsid w:val="007C29DC"/>
    <w:rsid w:val="007C3C7B"/>
    <w:rsid w:val="007C5094"/>
    <w:rsid w:val="007C6A7A"/>
    <w:rsid w:val="007C721D"/>
    <w:rsid w:val="007D512F"/>
    <w:rsid w:val="007D573B"/>
    <w:rsid w:val="007D59BF"/>
    <w:rsid w:val="007D5D21"/>
    <w:rsid w:val="007E15CE"/>
    <w:rsid w:val="007E2FB6"/>
    <w:rsid w:val="007F0858"/>
    <w:rsid w:val="007F382A"/>
    <w:rsid w:val="007F399C"/>
    <w:rsid w:val="0080251B"/>
    <w:rsid w:val="00804499"/>
    <w:rsid w:val="00805F26"/>
    <w:rsid w:val="00807BBB"/>
    <w:rsid w:val="00817523"/>
    <w:rsid w:val="00820644"/>
    <w:rsid w:val="00823762"/>
    <w:rsid w:val="00825F4E"/>
    <w:rsid w:val="00827816"/>
    <w:rsid w:val="00830699"/>
    <w:rsid w:val="008327BC"/>
    <w:rsid w:val="00835028"/>
    <w:rsid w:val="00835E10"/>
    <w:rsid w:val="0083770D"/>
    <w:rsid w:val="00837D7F"/>
    <w:rsid w:val="00840885"/>
    <w:rsid w:val="00843118"/>
    <w:rsid w:val="00845F18"/>
    <w:rsid w:val="008475DA"/>
    <w:rsid w:val="00851259"/>
    <w:rsid w:val="0085334C"/>
    <w:rsid w:val="00853826"/>
    <w:rsid w:val="00853C8A"/>
    <w:rsid w:val="00856433"/>
    <w:rsid w:val="00856B4E"/>
    <w:rsid w:val="0085777B"/>
    <w:rsid w:val="00862B43"/>
    <w:rsid w:val="00862F88"/>
    <w:rsid w:val="0086581C"/>
    <w:rsid w:val="00867C9D"/>
    <w:rsid w:val="00872A60"/>
    <w:rsid w:val="008738BE"/>
    <w:rsid w:val="00875307"/>
    <w:rsid w:val="00877814"/>
    <w:rsid w:val="00881DA8"/>
    <w:rsid w:val="00882ED2"/>
    <w:rsid w:val="008831E3"/>
    <w:rsid w:val="00883DAD"/>
    <w:rsid w:val="00884F3E"/>
    <w:rsid w:val="00885436"/>
    <w:rsid w:val="00886286"/>
    <w:rsid w:val="008869F5"/>
    <w:rsid w:val="00886D89"/>
    <w:rsid w:val="00887A11"/>
    <w:rsid w:val="008913CB"/>
    <w:rsid w:val="00892266"/>
    <w:rsid w:val="00893509"/>
    <w:rsid w:val="00893D14"/>
    <w:rsid w:val="008A64D8"/>
    <w:rsid w:val="008A6D97"/>
    <w:rsid w:val="008B0EEB"/>
    <w:rsid w:val="008B13A0"/>
    <w:rsid w:val="008B4F4A"/>
    <w:rsid w:val="008C0906"/>
    <w:rsid w:val="008C09F8"/>
    <w:rsid w:val="008C1209"/>
    <w:rsid w:val="008C301E"/>
    <w:rsid w:val="008C3C59"/>
    <w:rsid w:val="008D6373"/>
    <w:rsid w:val="008D709D"/>
    <w:rsid w:val="008E4D74"/>
    <w:rsid w:val="008E5D5D"/>
    <w:rsid w:val="008F0943"/>
    <w:rsid w:val="008F2496"/>
    <w:rsid w:val="008F3E25"/>
    <w:rsid w:val="008F5F13"/>
    <w:rsid w:val="008F6B76"/>
    <w:rsid w:val="0090060B"/>
    <w:rsid w:val="00900C31"/>
    <w:rsid w:val="00900E1B"/>
    <w:rsid w:val="00902458"/>
    <w:rsid w:val="0091267A"/>
    <w:rsid w:val="00912BEA"/>
    <w:rsid w:val="00917302"/>
    <w:rsid w:val="00924365"/>
    <w:rsid w:val="00925E3F"/>
    <w:rsid w:val="0092773B"/>
    <w:rsid w:val="00927A09"/>
    <w:rsid w:val="009312B8"/>
    <w:rsid w:val="00932ED2"/>
    <w:rsid w:val="009346E3"/>
    <w:rsid w:val="00934776"/>
    <w:rsid w:val="00934B70"/>
    <w:rsid w:val="00934D6C"/>
    <w:rsid w:val="0093644B"/>
    <w:rsid w:val="00940681"/>
    <w:rsid w:val="00940696"/>
    <w:rsid w:val="00940E41"/>
    <w:rsid w:val="0094145A"/>
    <w:rsid w:val="009414B4"/>
    <w:rsid w:val="00941AE5"/>
    <w:rsid w:val="00942370"/>
    <w:rsid w:val="00942AA6"/>
    <w:rsid w:val="00942E58"/>
    <w:rsid w:val="00951B2B"/>
    <w:rsid w:val="0095304F"/>
    <w:rsid w:val="00953CC1"/>
    <w:rsid w:val="00954C3B"/>
    <w:rsid w:val="00955776"/>
    <w:rsid w:val="00960F08"/>
    <w:rsid w:val="00961D60"/>
    <w:rsid w:val="00961D81"/>
    <w:rsid w:val="0096217F"/>
    <w:rsid w:val="00962D33"/>
    <w:rsid w:val="0096455A"/>
    <w:rsid w:val="00967D4F"/>
    <w:rsid w:val="009710C8"/>
    <w:rsid w:val="009739FF"/>
    <w:rsid w:val="0097452F"/>
    <w:rsid w:val="00974B7D"/>
    <w:rsid w:val="009776FB"/>
    <w:rsid w:val="0097791C"/>
    <w:rsid w:val="00980384"/>
    <w:rsid w:val="00980BED"/>
    <w:rsid w:val="009856F6"/>
    <w:rsid w:val="009864E4"/>
    <w:rsid w:val="00995191"/>
    <w:rsid w:val="00995D33"/>
    <w:rsid w:val="00995EBD"/>
    <w:rsid w:val="0099746A"/>
    <w:rsid w:val="0099769C"/>
    <w:rsid w:val="00997BA2"/>
    <w:rsid w:val="00997C60"/>
    <w:rsid w:val="00997CA9"/>
    <w:rsid w:val="009A04FD"/>
    <w:rsid w:val="009A0B93"/>
    <w:rsid w:val="009A283B"/>
    <w:rsid w:val="009A2BCD"/>
    <w:rsid w:val="009A3BFC"/>
    <w:rsid w:val="009A4C74"/>
    <w:rsid w:val="009A534C"/>
    <w:rsid w:val="009A5481"/>
    <w:rsid w:val="009A61AA"/>
    <w:rsid w:val="009B195F"/>
    <w:rsid w:val="009B31A3"/>
    <w:rsid w:val="009B6F7A"/>
    <w:rsid w:val="009B7AD6"/>
    <w:rsid w:val="009B7AEE"/>
    <w:rsid w:val="009C0094"/>
    <w:rsid w:val="009D2A10"/>
    <w:rsid w:val="009D391A"/>
    <w:rsid w:val="009D3E4B"/>
    <w:rsid w:val="009D433D"/>
    <w:rsid w:val="009D486F"/>
    <w:rsid w:val="009D76BA"/>
    <w:rsid w:val="009E13AE"/>
    <w:rsid w:val="009E1D7A"/>
    <w:rsid w:val="009E358F"/>
    <w:rsid w:val="009E4104"/>
    <w:rsid w:val="009E4791"/>
    <w:rsid w:val="009E4E97"/>
    <w:rsid w:val="009E521D"/>
    <w:rsid w:val="009E670C"/>
    <w:rsid w:val="009F0A37"/>
    <w:rsid w:val="009F1C08"/>
    <w:rsid w:val="009F61AA"/>
    <w:rsid w:val="009F7880"/>
    <w:rsid w:val="009F7C38"/>
    <w:rsid w:val="009F7EB2"/>
    <w:rsid w:val="00A00382"/>
    <w:rsid w:val="00A0120E"/>
    <w:rsid w:val="00A01665"/>
    <w:rsid w:val="00A02507"/>
    <w:rsid w:val="00A02A1E"/>
    <w:rsid w:val="00A036FA"/>
    <w:rsid w:val="00A10680"/>
    <w:rsid w:val="00A1344D"/>
    <w:rsid w:val="00A1502D"/>
    <w:rsid w:val="00A15E34"/>
    <w:rsid w:val="00A16E63"/>
    <w:rsid w:val="00A174E6"/>
    <w:rsid w:val="00A2147A"/>
    <w:rsid w:val="00A231E0"/>
    <w:rsid w:val="00A23210"/>
    <w:rsid w:val="00A233DF"/>
    <w:rsid w:val="00A248AC"/>
    <w:rsid w:val="00A248FC"/>
    <w:rsid w:val="00A250BF"/>
    <w:rsid w:val="00A3068E"/>
    <w:rsid w:val="00A32FCA"/>
    <w:rsid w:val="00A3782D"/>
    <w:rsid w:val="00A40EE3"/>
    <w:rsid w:val="00A40F6A"/>
    <w:rsid w:val="00A411B4"/>
    <w:rsid w:val="00A4122B"/>
    <w:rsid w:val="00A42026"/>
    <w:rsid w:val="00A428B0"/>
    <w:rsid w:val="00A46B3E"/>
    <w:rsid w:val="00A52BE3"/>
    <w:rsid w:val="00A54079"/>
    <w:rsid w:val="00A547C9"/>
    <w:rsid w:val="00A640EA"/>
    <w:rsid w:val="00A66737"/>
    <w:rsid w:val="00A67DD2"/>
    <w:rsid w:val="00A71DF0"/>
    <w:rsid w:val="00A72148"/>
    <w:rsid w:val="00A72F52"/>
    <w:rsid w:val="00A74DEE"/>
    <w:rsid w:val="00A84E83"/>
    <w:rsid w:val="00A86B4E"/>
    <w:rsid w:val="00A86C4B"/>
    <w:rsid w:val="00A87348"/>
    <w:rsid w:val="00A92176"/>
    <w:rsid w:val="00A93D2C"/>
    <w:rsid w:val="00A95B9F"/>
    <w:rsid w:val="00A95C9B"/>
    <w:rsid w:val="00AA069B"/>
    <w:rsid w:val="00AA3DCA"/>
    <w:rsid w:val="00AA49B0"/>
    <w:rsid w:val="00AB08BA"/>
    <w:rsid w:val="00AB0E52"/>
    <w:rsid w:val="00AB248A"/>
    <w:rsid w:val="00AB271A"/>
    <w:rsid w:val="00AC1761"/>
    <w:rsid w:val="00AC1AEA"/>
    <w:rsid w:val="00AC21B4"/>
    <w:rsid w:val="00AC5474"/>
    <w:rsid w:val="00AC6E96"/>
    <w:rsid w:val="00AC72FE"/>
    <w:rsid w:val="00AD1B5E"/>
    <w:rsid w:val="00AD2779"/>
    <w:rsid w:val="00AD2CEE"/>
    <w:rsid w:val="00AD4AFD"/>
    <w:rsid w:val="00AD6A4C"/>
    <w:rsid w:val="00AD7BDA"/>
    <w:rsid w:val="00AE060C"/>
    <w:rsid w:val="00AE063D"/>
    <w:rsid w:val="00AE0CBB"/>
    <w:rsid w:val="00AE3946"/>
    <w:rsid w:val="00AE4862"/>
    <w:rsid w:val="00AF0049"/>
    <w:rsid w:val="00AF4164"/>
    <w:rsid w:val="00AF5573"/>
    <w:rsid w:val="00B03487"/>
    <w:rsid w:val="00B03E0C"/>
    <w:rsid w:val="00B04F10"/>
    <w:rsid w:val="00B05244"/>
    <w:rsid w:val="00B05C15"/>
    <w:rsid w:val="00B0642D"/>
    <w:rsid w:val="00B114DA"/>
    <w:rsid w:val="00B15F12"/>
    <w:rsid w:val="00B20E11"/>
    <w:rsid w:val="00B21B7F"/>
    <w:rsid w:val="00B221D2"/>
    <w:rsid w:val="00B24E0D"/>
    <w:rsid w:val="00B25184"/>
    <w:rsid w:val="00B2788D"/>
    <w:rsid w:val="00B27C91"/>
    <w:rsid w:val="00B32143"/>
    <w:rsid w:val="00B32975"/>
    <w:rsid w:val="00B32B11"/>
    <w:rsid w:val="00B33235"/>
    <w:rsid w:val="00B33D30"/>
    <w:rsid w:val="00B35611"/>
    <w:rsid w:val="00B36DE6"/>
    <w:rsid w:val="00B406AE"/>
    <w:rsid w:val="00B41213"/>
    <w:rsid w:val="00B42FA9"/>
    <w:rsid w:val="00B4325B"/>
    <w:rsid w:val="00B45F92"/>
    <w:rsid w:val="00B47615"/>
    <w:rsid w:val="00B517E8"/>
    <w:rsid w:val="00B54383"/>
    <w:rsid w:val="00B57489"/>
    <w:rsid w:val="00B60825"/>
    <w:rsid w:val="00B638C3"/>
    <w:rsid w:val="00B66CAD"/>
    <w:rsid w:val="00B7322F"/>
    <w:rsid w:val="00B7460D"/>
    <w:rsid w:val="00B751FD"/>
    <w:rsid w:val="00B75951"/>
    <w:rsid w:val="00B7644A"/>
    <w:rsid w:val="00B80CE0"/>
    <w:rsid w:val="00B80D88"/>
    <w:rsid w:val="00B821AD"/>
    <w:rsid w:val="00B83F0A"/>
    <w:rsid w:val="00B84B76"/>
    <w:rsid w:val="00B850A9"/>
    <w:rsid w:val="00B86334"/>
    <w:rsid w:val="00B86BC0"/>
    <w:rsid w:val="00B902B5"/>
    <w:rsid w:val="00B941A9"/>
    <w:rsid w:val="00B950D5"/>
    <w:rsid w:val="00B96668"/>
    <w:rsid w:val="00B96BC2"/>
    <w:rsid w:val="00BA0D1E"/>
    <w:rsid w:val="00BA14E1"/>
    <w:rsid w:val="00BA2878"/>
    <w:rsid w:val="00BA3457"/>
    <w:rsid w:val="00BA34C1"/>
    <w:rsid w:val="00BA608C"/>
    <w:rsid w:val="00BB483F"/>
    <w:rsid w:val="00BB4858"/>
    <w:rsid w:val="00BB5151"/>
    <w:rsid w:val="00BB578C"/>
    <w:rsid w:val="00BB7229"/>
    <w:rsid w:val="00BC0363"/>
    <w:rsid w:val="00BC0B22"/>
    <w:rsid w:val="00BC1677"/>
    <w:rsid w:val="00BC2B28"/>
    <w:rsid w:val="00BC6F4D"/>
    <w:rsid w:val="00BD1AFB"/>
    <w:rsid w:val="00BD226F"/>
    <w:rsid w:val="00BD3C81"/>
    <w:rsid w:val="00BE2546"/>
    <w:rsid w:val="00BE2AFB"/>
    <w:rsid w:val="00BF22E5"/>
    <w:rsid w:val="00BF411B"/>
    <w:rsid w:val="00BF55D0"/>
    <w:rsid w:val="00BF5622"/>
    <w:rsid w:val="00BF75EE"/>
    <w:rsid w:val="00C02A8B"/>
    <w:rsid w:val="00C02C1C"/>
    <w:rsid w:val="00C030F4"/>
    <w:rsid w:val="00C03734"/>
    <w:rsid w:val="00C055B8"/>
    <w:rsid w:val="00C07EAB"/>
    <w:rsid w:val="00C101F1"/>
    <w:rsid w:val="00C11408"/>
    <w:rsid w:val="00C11D6F"/>
    <w:rsid w:val="00C138AC"/>
    <w:rsid w:val="00C13CC9"/>
    <w:rsid w:val="00C1425C"/>
    <w:rsid w:val="00C14529"/>
    <w:rsid w:val="00C1502C"/>
    <w:rsid w:val="00C20E2B"/>
    <w:rsid w:val="00C21F8D"/>
    <w:rsid w:val="00C23B8B"/>
    <w:rsid w:val="00C25DBA"/>
    <w:rsid w:val="00C26270"/>
    <w:rsid w:val="00C26F22"/>
    <w:rsid w:val="00C27461"/>
    <w:rsid w:val="00C2799A"/>
    <w:rsid w:val="00C30AE1"/>
    <w:rsid w:val="00C310D5"/>
    <w:rsid w:val="00C31B9B"/>
    <w:rsid w:val="00C3557D"/>
    <w:rsid w:val="00C3776A"/>
    <w:rsid w:val="00C37937"/>
    <w:rsid w:val="00C379EE"/>
    <w:rsid w:val="00C37AB7"/>
    <w:rsid w:val="00C403E4"/>
    <w:rsid w:val="00C41CB4"/>
    <w:rsid w:val="00C41F06"/>
    <w:rsid w:val="00C429BF"/>
    <w:rsid w:val="00C43FB3"/>
    <w:rsid w:val="00C4639F"/>
    <w:rsid w:val="00C47A76"/>
    <w:rsid w:val="00C47BFF"/>
    <w:rsid w:val="00C51060"/>
    <w:rsid w:val="00C526A7"/>
    <w:rsid w:val="00C5612E"/>
    <w:rsid w:val="00C60183"/>
    <w:rsid w:val="00C6030D"/>
    <w:rsid w:val="00C61F50"/>
    <w:rsid w:val="00C639B0"/>
    <w:rsid w:val="00C65FBB"/>
    <w:rsid w:val="00C6622F"/>
    <w:rsid w:val="00C6631A"/>
    <w:rsid w:val="00C6797A"/>
    <w:rsid w:val="00C70DB6"/>
    <w:rsid w:val="00C86BCF"/>
    <w:rsid w:val="00C86E4E"/>
    <w:rsid w:val="00C9053B"/>
    <w:rsid w:val="00C90831"/>
    <w:rsid w:val="00C92497"/>
    <w:rsid w:val="00C935AC"/>
    <w:rsid w:val="00C95F7B"/>
    <w:rsid w:val="00C96B81"/>
    <w:rsid w:val="00CA59B1"/>
    <w:rsid w:val="00CB1845"/>
    <w:rsid w:val="00CB3B43"/>
    <w:rsid w:val="00CB4621"/>
    <w:rsid w:val="00CB495F"/>
    <w:rsid w:val="00CB54D4"/>
    <w:rsid w:val="00CB5F1B"/>
    <w:rsid w:val="00CB655D"/>
    <w:rsid w:val="00CB725F"/>
    <w:rsid w:val="00CB79F7"/>
    <w:rsid w:val="00CC2328"/>
    <w:rsid w:val="00CC54BD"/>
    <w:rsid w:val="00CD02BD"/>
    <w:rsid w:val="00CD227C"/>
    <w:rsid w:val="00CD454F"/>
    <w:rsid w:val="00CD7727"/>
    <w:rsid w:val="00CD7F84"/>
    <w:rsid w:val="00CE0EDB"/>
    <w:rsid w:val="00CE30EF"/>
    <w:rsid w:val="00CE358F"/>
    <w:rsid w:val="00CE493C"/>
    <w:rsid w:val="00CE6C13"/>
    <w:rsid w:val="00CE6C98"/>
    <w:rsid w:val="00CF0EF1"/>
    <w:rsid w:val="00CF3764"/>
    <w:rsid w:val="00CF4A56"/>
    <w:rsid w:val="00CF4DED"/>
    <w:rsid w:val="00D02294"/>
    <w:rsid w:val="00D03672"/>
    <w:rsid w:val="00D038D9"/>
    <w:rsid w:val="00D04269"/>
    <w:rsid w:val="00D10C69"/>
    <w:rsid w:val="00D11D6A"/>
    <w:rsid w:val="00D11F25"/>
    <w:rsid w:val="00D14A3F"/>
    <w:rsid w:val="00D16CB3"/>
    <w:rsid w:val="00D332E2"/>
    <w:rsid w:val="00D333F5"/>
    <w:rsid w:val="00D3406C"/>
    <w:rsid w:val="00D35311"/>
    <w:rsid w:val="00D35BE0"/>
    <w:rsid w:val="00D40D83"/>
    <w:rsid w:val="00D445C6"/>
    <w:rsid w:val="00D4720D"/>
    <w:rsid w:val="00D553B8"/>
    <w:rsid w:val="00D60358"/>
    <w:rsid w:val="00D61CA4"/>
    <w:rsid w:val="00D63382"/>
    <w:rsid w:val="00D67B0C"/>
    <w:rsid w:val="00D71C9C"/>
    <w:rsid w:val="00D734E4"/>
    <w:rsid w:val="00D73958"/>
    <w:rsid w:val="00D754EC"/>
    <w:rsid w:val="00D756DC"/>
    <w:rsid w:val="00D81CF9"/>
    <w:rsid w:val="00D83744"/>
    <w:rsid w:val="00D85572"/>
    <w:rsid w:val="00D8611B"/>
    <w:rsid w:val="00D86C6B"/>
    <w:rsid w:val="00D87283"/>
    <w:rsid w:val="00D90C82"/>
    <w:rsid w:val="00D93E9D"/>
    <w:rsid w:val="00D94951"/>
    <w:rsid w:val="00D95727"/>
    <w:rsid w:val="00D95E42"/>
    <w:rsid w:val="00D97839"/>
    <w:rsid w:val="00DA0A1D"/>
    <w:rsid w:val="00DA15EC"/>
    <w:rsid w:val="00DA4847"/>
    <w:rsid w:val="00DA6DB3"/>
    <w:rsid w:val="00DB15C1"/>
    <w:rsid w:val="00DB174D"/>
    <w:rsid w:val="00DB62F7"/>
    <w:rsid w:val="00DB6CF9"/>
    <w:rsid w:val="00DB6E07"/>
    <w:rsid w:val="00DB6E45"/>
    <w:rsid w:val="00DC117F"/>
    <w:rsid w:val="00DC483D"/>
    <w:rsid w:val="00DC5144"/>
    <w:rsid w:val="00DC68D9"/>
    <w:rsid w:val="00DD169C"/>
    <w:rsid w:val="00DD2E03"/>
    <w:rsid w:val="00DD2F67"/>
    <w:rsid w:val="00DD4080"/>
    <w:rsid w:val="00DD498A"/>
    <w:rsid w:val="00DE18BA"/>
    <w:rsid w:val="00DE2A7A"/>
    <w:rsid w:val="00DE3284"/>
    <w:rsid w:val="00DE3945"/>
    <w:rsid w:val="00DE7233"/>
    <w:rsid w:val="00DF1028"/>
    <w:rsid w:val="00DF117B"/>
    <w:rsid w:val="00DF1281"/>
    <w:rsid w:val="00DF2C77"/>
    <w:rsid w:val="00DF3F51"/>
    <w:rsid w:val="00E01EFD"/>
    <w:rsid w:val="00E03D1C"/>
    <w:rsid w:val="00E04143"/>
    <w:rsid w:val="00E060D6"/>
    <w:rsid w:val="00E066C0"/>
    <w:rsid w:val="00E07E6F"/>
    <w:rsid w:val="00E146B1"/>
    <w:rsid w:val="00E17F3C"/>
    <w:rsid w:val="00E21FEE"/>
    <w:rsid w:val="00E23658"/>
    <w:rsid w:val="00E25357"/>
    <w:rsid w:val="00E26F17"/>
    <w:rsid w:val="00E2794B"/>
    <w:rsid w:val="00E27F8E"/>
    <w:rsid w:val="00E31584"/>
    <w:rsid w:val="00E31672"/>
    <w:rsid w:val="00E326AC"/>
    <w:rsid w:val="00E32F56"/>
    <w:rsid w:val="00E35284"/>
    <w:rsid w:val="00E35375"/>
    <w:rsid w:val="00E35AEF"/>
    <w:rsid w:val="00E413CA"/>
    <w:rsid w:val="00E419D4"/>
    <w:rsid w:val="00E45574"/>
    <w:rsid w:val="00E471C8"/>
    <w:rsid w:val="00E51067"/>
    <w:rsid w:val="00E52701"/>
    <w:rsid w:val="00E5600D"/>
    <w:rsid w:val="00E57147"/>
    <w:rsid w:val="00E62E1F"/>
    <w:rsid w:val="00E63637"/>
    <w:rsid w:val="00E638C4"/>
    <w:rsid w:val="00E640ED"/>
    <w:rsid w:val="00E669DA"/>
    <w:rsid w:val="00E6703C"/>
    <w:rsid w:val="00E677D3"/>
    <w:rsid w:val="00E71EC0"/>
    <w:rsid w:val="00E72F9B"/>
    <w:rsid w:val="00E74CB1"/>
    <w:rsid w:val="00E75C09"/>
    <w:rsid w:val="00E76252"/>
    <w:rsid w:val="00E765BB"/>
    <w:rsid w:val="00E775AD"/>
    <w:rsid w:val="00E8157B"/>
    <w:rsid w:val="00E8228C"/>
    <w:rsid w:val="00E86121"/>
    <w:rsid w:val="00E8682B"/>
    <w:rsid w:val="00E86FEB"/>
    <w:rsid w:val="00E93B66"/>
    <w:rsid w:val="00E9579B"/>
    <w:rsid w:val="00E964C1"/>
    <w:rsid w:val="00EA2454"/>
    <w:rsid w:val="00EA3676"/>
    <w:rsid w:val="00EB2A3F"/>
    <w:rsid w:val="00EB3C2A"/>
    <w:rsid w:val="00EB6CD0"/>
    <w:rsid w:val="00EB7435"/>
    <w:rsid w:val="00EC276C"/>
    <w:rsid w:val="00EC339A"/>
    <w:rsid w:val="00EC3617"/>
    <w:rsid w:val="00EC4F20"/>
    <w:rsid w:val="00EC5A17"/>
    <w:rsid w:val="00EC7EEA"/>
    <w:rsid w:val="00ED182B"/>
    <w:rsid w:val="00ED239B"/>
    <w:rsid w:val="00ED28C8"/>
    <w:rsid w:val="00ED4D75"/>
    <w:rsid w:val="00ED5C55"/>
    <w:rsid w:val="00ED6DDE"/>
    <w:rsid w:val="00EE20B1"/>
    <w:rsid w:val="00EE3050"/>
    <w:rsid w:val="00EE46DF"/>
    <w:rsid w:val="00EE586D"/>
    <w:rsid w:val="00EE6169"/>
    <w:rsid w:val="00EF0827"/>
    <w:rsid w:val="00EF2492"/>
    <w:rsid w:val="00EF489A"/>
    <w:rsid w:val="00F01EF6"/>
    <w:rsid w:val="00F02B47"/>
    <w:rsid w:val="00F04027"/>
    <w:rsid w:val="00F054E0"/>
    <w:rsid w:val="00F127A6"/>
    <w:rsid w:val="00F12B2B"/>
    <w:rsid w:val="00F14853"/>
    <w:rsid w:val="00F211F1"/>
    <w:rsid w:val="00F33F9E"/>
    <w:rsid w:val="00F34228"/>
    <w:rsid w:val="00F346D4"/>
    <w:rsid w:val="00F37921"/>
    <w:rsid w:val="00F41546"/>
    <w:rsid w:val="00F43D1E"/>
    <w:rsid w:val="00F45440"/>
    <w:rsid w:val="00F46290"/>
    <w:rsid w:val="00F47816"/>
    <w:rsid w:val="00F502B8"/>
    <w:rsid w:val="00F50484"/>
    <w:rsid w:val="00F51098"/>
    <w:rsid w:val="00F529F1"/>
    <w:rsid w:val="00F532D1"/>
    <w:rsid w:val="00F53D26"/>
    <w:rsid w:val="00F55C03"/>
    <w:rsid w:val="00F61C82"/>
    <w:rsid w:val="00F63FA0"/>
    <w:rsid w:val="00F67240"/>
    <w:rsid w:val="00F70330"/>
    <w:rsid w:val="00F70C14"/>
    <w:rsid w:val="00F74E21"/>
    <w:rsid w:val="00F77A10"/>
    <w:rsid w:val="00F77EEF"/>
    <w:rsid w:val="00F8110A"/>
    <w:rsid w:val="00F83857"/>
    <w:rsid w:val="00F84B37"/>
    <w:rsid w:val="00F84DA9"/>
    <w:rsid w:val="00F8580A"/>
    <w:rsid w:val="00F86C29"/>
    <w:rsid w:val="00F873BC"/>
    <w:rsid w:val="00F909D8"/>
    <w:rsid w:val="00F90D71"/>
    <w:rsid w:val="00F910AC"/>
    <w:rsid w:val="00F92B0E"/>
    <w:rsid w:val="00F960F5"/>
    <w:rsid w:val="00F97256"/>
    <w:rsid w:val="00F973FC"/>
    <w:rsid w:val="00FA2010"/>
    <w:rsid w:val="00FA24DE"/>
    <w:rsid w:val="00FA51AA"/>
    <w:rsid w:val="00FA5AA0"/>
    <w:rsid w:val="00FB0625"/>
    <w:rsid w:val="00FB31C4"/>
    <w:rsid w:val="00FB48C6"/>
    <w:rsid w:val="00FB5C1C"/>
    <w:rsid w:val="00FC0D35"/>
    <w:rsid w:val="00FC615B"/>
    <w:rsid w:val="00FC72F3"/>
    <w:rsid w:val="00FD12FE"/>
    <w:rsid w:val="00FD3FF9"/>
    <w:rsid w:val="00FD4715"/>
    <w:rsid w:val="00FD5A26"/>
    <w:rsid w:val="00FD6B8C"/>
    <w:rsid w:val="00FE0D3F"/>
    <w:rsid w:val="00FE2E4F"/>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52209B72"/>
  <w15:docId w15:val="{6874AE0C-D11E-4DB3-B22C-0775883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pnadhanani@westlondonwast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odonnell@westlondonwast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patel@westlondonwast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F25A6-CAD4-4125-9D06-EF2987A9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1778</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11623</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Sapna Dhanani</cp:lastModifiedBy>
  <cp:revision>51</cp:revision>
  <cp:lastPrinted>2015-05-20T15:59:00Z</cp:lastPrinted>
  <dcterms:created xsi:type="dcterms:W3CDTF">2023-05-22T13:39:00Z</dcterms:created>
  <dcterms:modified xsi:type="dcterms:W3CDTF">2023-05-31T13:13:00Z</dcterms:modified>
</cp:coreProperties>
</file>